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1719D" w14:textId="213B5D2F" w:rsidR="001B5BC6" w:rsidRPr="00A55986" w:rsidRDefault="0066540A" w:rsidP="00A55986">
      <w:pPr>
        <w:pStyle w:val="Header"/>
        <w:tabs>
          <w:tab w:val="clear" w:pos="4513"/>
          <w:tab w:val="clear" w:pos="9026"/>
          <w:tab w:val="left" w:pos="7434"/>
        </w:tabs>
        <w:spacing w:after="240"/>
        <w:jc w:val="center"/>
        <w:rPr>
          <w:b/>
          <w:color w:val="1F497D"/>
          <w:sz w:val="26"/>
          <w:szCs w:val="26"/>
        </w:rPr>
      </w:pPr>
      <w:r w:rsidRPr="00A55986">
        <w:rPr>
          <w:b/>
          <w:color w:val="1F497D"/>
          <w:sz w:val="26"/>
          <w:szCs w:val="26"/>
        </w:rPr>
        <w:t>BIS</w:t>
      </w:r>
      <w:r w:rsidR="001561FE" w:rsidRPr="00A55986">
        <w:rPr>
          <w:b/>
          <w:color w:val="1F497D"/>
          <w:sz w:val="26"/>
          <w:szCs w:val="26"/>
        </w:rPr>
        <w:t xml:space="preserve"> Fees for Academic Year</w:t>
      </w:r>
      <w:r w:rsidR="00654CEC" w:rsidRPr="00A55986">
        <w:rPr>
          <w:b/>
          <w:color w:val="1F497D"/>
          <w:sz w:val="26"/>
          <w:szCs w:val="26"/>
        </w:rPr>
        <w:t xml:space="preserve"> </w:t>
      </w:r>
      <w:r w:rsidR="006808DD" w:rsidRPr="00A55986">
        <w:rPr>
          <w:b/>
          <w:color w:val="1F497D"/>
          <w:sz w:val="26"/>
          <w:szCs w:val="26"/>
        </w:rPr>
        <w:t>August</w:t>
      </w:r>
      <w:r w:rsidR="001561FE" w:rsidRPr="00A55986">
        <w:rPr>
          <w:b/>
          <w:color w:val="1F497D"/>
          <w:sz w:val="26"/>
          <w:szCs w:val="26"/>
        </w:rPr>
        <w:t xml:space="preserve"> </w:t>
      </w:r>
      <w:r w:rsidR="00331B4C" w:rsidRPr="00A55986">
        <w:rPr>
          <w:b/>
          <w:color w:val="1F497D"/>
          <w:sz w:val="26"/>
          <w:szCs w:val="26"/>
        </w:rPr>
        <w:t>2020</w:t>
      </w:r>
      <w:r w:rsidR="008B16B8" w:rsidRPr="00A55986">
        <w:rPr>
          <w:b/>
          <w:color w:val="1F497D"/>
          <w:sz w:val="26"/>
          <w:szCs w:val="26"/>
        </w:rPr>
        <w:t xml:space="preserve"> </w:t>
      </w:r>
      <w:r w:rsidR="001561FE" w:rsidRPr="00A55986">
        <w:rPr>
          <w:b/>
          <w:color w:val="1F497D"/>
          <w:sz w:val="26"/>
          <w:szCs w:val="26"/>
        </w:rPr>
        <w:t xml:space="preserve">– June </w:t>
      </w:r>
      <w:r w:rsidR="00331B4C" w:rsidRPr="00A55986">
        <w:rPr>
          <w:b/>
          <w:color w:val="1F497D"/>
          <w:sz w:val="26"/>
          <w:szCs w:val="26"/>
        </w:rPr>
        <w:t>2021</w:t>
      </w:r>
      <w:r w:rsidR="008B16B8" w:rsidRPr="00A55986">
        <w:rPr>
          <w:b/>
          <w:color w:val="1F497D"/>
          <w:sz w:val="26"/>
          <w:szCs w:val="26"/>
        </w:rPr>
        <w:t xml:space="preserve"> </w:t>
      </w:r>
      <w:r w:rsidRPr="00A55986">
        <w:rPr>
          <w:b/>
          <w:color w:val="1F497D"/>
          <w:sz w:val="26"/>
          <w:szCs w:val="26"/>
        </w:rPr>
        <w:t xml:space="preserve">in </w:t>
      </w:r>
      <w:r w:rsidR="00331B4C" w:rsidRPr="00A55986">
        <w:rPr>
          <w:b/>
          <w:color w:val="1F497D"/>
          <w:sz w:val="26"/>
          <w:szCs w:val="26"/>
        </w:rPr>
        <w:t>‘000 SOM</w:t>
      </w:r>
    </w:p>
    <w:tbl>
      <w:tblPr>
        <w:tblW w:w="108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3247"/>
        <w:gridCol w:w="1418"/>
        <w:gridCol w:w="1417"/>
        <w:gridCol w:w="1559"/>
        <w:gridCol w:w="1418"/>
        <w:gridCol w:w="1831"/>
      </w:tblGrid>
      <w:tr w:rsidR="00E10E08" w:rsidRPr="00A55986" w14:paraId="2F229083" w14:textId="77777777" w:rsidTr="00A55986">
        <w:trPr>
          <w:trHeight w:val="453"/>
          <w:jc w:val="center"/>
        </w:trPr>
        <w:tc>
          <w:tcPr>
            <w:tcW w:w="3247" w:type="dxa"/>
            <w:shd w:val="clear" w:color="auto" w:fill="F2F2F2" w:themeFill="background1" w:themeFillShade="F2"/>
            <w:vAlign w:val="center"/>
          </w:tcPr>
          <w:p w14:paraId="41C05081" w14:textId="77777777" w:rsidR="00E8162B" w:rsidRPr="00A55986" w:rsidRDefault="00E8162B" w:rsidP="00987AED">
            <w:pPr>
              <w:jc w:val="center"/>
              <w:rPr>
                <w:rFonts w:eastAsia="Times New Roman"/>
                <w:color w:val="000000"/>
                <w:sz w:val="18"/>
                <w:szCs w:val="18"/>
                <w:lang w:eastAsia="en-GB"/>
              </w:rPr>
            </w:pPr>
            <w:r w:rsidRPr="00A55986">
              <w:rPr>
                <w:rFonts w:eastAsia="Times New Roman"/>
                <w:b/>
                <w:bCs/>
                <w:color w:val="000000"/>
                <w:sz w:val="18"/>
                <w:szCs w:val="18"/>
                <w:lang w:eastAsia="en-GB"/>
              </w:rPr>
              <w:t>Year Group</w:t>
            </w:r>
          </w:p>
        </w:tc>
        <w:tc>
          <w:tcPr>
            <w:tcW w:w="1418" w:type="dxa"/>
            <w:shd w:val="clear" w:color="auto" w:fill="F2F2F2" w:themeFill="background1" w:themeFillShade="F2"/>
            <w:vAlign w:val="center"/>
          </w:tcPr>
          <w:p w14:paraId="09DD2EBF" w14:textId="77777777" w:rsidR="00E8162B" w:rsidRPr="00A55986" w:rsidRDefault="00E8162B" w:rsidP="00683347">
            <w:pPr>
              <w:jc w:val="center"/>
              <w:rPr>
                <w:rFonts w:eastAsia="Times New Roman"/>
                <w:b/>
                <w:color w:val="000000"/>
                <w:sz w:val="18"/>
                <w:szCs w:val="18"/>
                <w:lang w:eastAsia="en-GB"/>
              </w:rPr>
            </w:pPr>
            <w:r w:rsidRPr="00A55986">
              <w:rPr>
                <w:rFonts w:eastAsia="Times New Roman"/>
                <w:b/>
                <w:color w:val="000000"/>
                <w:sz w:val="18"/>
                <w:szCs w:val="18"/>
                <w:lang w:eastAsia="en-GB"/>
              </w:rPr>
              <w:t>Preschool</w:t>
            </w:r>
          </w:p>
          <w:p w14:paraId="05570C9D" w14:textId="4BABBE2E" w:rsidR="00E8162B" w:rsidRPr="00A55986" w:rsidRDefault="00E8162B" w:rsidP="00683347">
            <w:pPr>
              <w:jc w:val="center"/>
              <w:rPr>
                <w:bCs/>
                <w:color w:val="000000" w:themeColor="text1"/>
                <w:sz w:val="18"/>
                <w:szCs w:val="18"/>
              </w:rPr>
            </w:pPr>
            <w:r w:rsidRPr="00A55986">
              <w:rPr>
                <w:rFonts w:eastAsia="Times New Roman"/>
                <w:b/>
                <w:color w:val="000000"/>
                <w:sz w:val="18"/>
                <w:szCs w:val="18"/>
                <w:lang w:eastAsia="en-GB"/>
              </w:rPr>
              <w:t>1</w:t>
            </w:r>
            <w:r w:rsidR="00950F43" w:rsidRPr="00A55986">
              <w:rPr>
                <w:rFonts w:eastAsia="Times New Roman"/>
                <w:b/>
                <w:color w:val="000000"/>
                <w:sz w:val="18"/>
                <w:szCs w:val="18"/>
                <w:lang w:eastAsia="en-GB"/>
              </w:rPr>
              <w:t xml:space="preserve"> </w:t>
            </w:r>
            <w:r w:rsidRPr="00A55986">
              <w:rPr>
                <w:rFonts w:eastAsia="Times New Roman"/>
                <w:b/>
                <w:color w:val="000000"/>
                <w:sz w:val="18"/>
                <w:szCs w:val="18"/>
                <w:lang w:eastAsia="en-GB"/>
              </w:rPr>
              <w:t>-</w:t>
            </w:r>
            <w:r w:rsidR="00950F43" w:rsidRPr="00A55986">
              <w:rPr>
                <w:rFonts w:eastAsia="Times New Roman"/>
                <w:b/>
                <w:color w:val="000000"/>
                <w:sz w:val="18"/>
                <w:szCs w:val="18"/>
                <w:lang w:eastAsia="en-GB"/>
              </w:rPr>
              <w:t xml:space="preserve"> </w:t>
            </w:r>
            <w:r w:rsidRPr="00A55986">
              <w:rPr>
                <w:rFonts w:eastAsia="Times New Roman"/>
                <w:b/>
                <w:color w:val="000000"/>
                <w:sz w:val="18"/>
                <w:szCs w:val="18"/>
                <w:lang w:eastAsia="en-GB"/>
              </w:rPr>
              <w:t>3</w:t>
            </w:r>
          </w:p>
        </w:tc>
        <w:tc>
          <w:tcPr>
            <w:tcW w:w="1417" w:type="dxa"/>
            <w:shd w:val="clear" w:color="auto" w:fill="F2F2F2" w:themeFill="background1" w:themeFillShade="F2"/>
            <w:vAlign w:val="center"/>
          </w:tcPr>
          <w:p w14:paraId="778B917D" w14:textId="77777777" w:rsidR="00E8162B" w:rsidRPr="00A55986" w:rsidRDefault="00E8162B" w:rsidP="00683347">
            <w:pPr>
              <w:jc w:val="center"/>
              <w:rPr>
                <w:rFonts w:eastAsia="Times New Roman"/>
                <w:b/>
                <w:color w:val="000000"/>
                <w:sz w:val="18"/>
                <w:szCs w:val="18"/>
                <w:lang w:eastAsia="en-GB"/>
              </w:rPr>
            </w:pPr>
            <w:r w:rsidRPr="00A55986">
              <w:rPr>
                <w:rFonts w:eastAsia="Times New Roman"/>
                <w:b/>
                <w:color w:val="000000"/>
                <w:sz w:val="18"/>
                <w:szCs w:val="18"/>
                <w:lang w:eastAsia="en-GB"/>
              </w:rPr>
              <w:t>Primary</w:t>
            </w:r>
          </w:p>
          <w:p w14:paraId="405959ED" w14:textId="2F4DD278" w:rsidR="00E8162B" w:rsidRPr="00A55986" w:rsidRDefault="00E8162B" w:rsidP="00683347">
            <w:pPr>
              <w:jc w:val="center"/>
              <w:rPr>
                <w:b/>
                <w:bCs/>
                <w:color w:val="000000" w:themeColor="text1"/>
                <w:sz w:val="18"/>
                <w:szCs w:val="18"/>
              </w:rPr>
            </w:pPr>
            <w:r w:rsidRPr="00A55986">
              <w:rPr>
                <w:rFonts w:eastAsia="Times New Roman"/>
                <w:b/>
                <w:color w:val="000000"/>
                <w:sz w:val="18"/>
                <w:szCs w:val="18"/>
                <w:lang w:eastAsia="en-GB"/>
              </w:rPr>
              <w:t>1</w:t>
            </w:r>
            <w:r w:rsidR="00950F43" w:rsidRPr="00A55986">
              <w:rPr>
                <w:rFonts w:eastAsia="Times New Roman"/>
                <w:b/>
                <w:color w:val="000000"/>
                <w:sz w:val="18"/>
                <w:szCs w:val="18"/>
                <w:lang w:eastAsia="en-GB"/>
              </w:rPr>
              <w:t xml:space="preserve"> </w:t>
            </w:r>
            <w:r w:rsidRPr="00A55986">
              <w:rPr>
                <w:rFonts w:eastAsia="Times New Roman"/>
                <w:b/>
                <w:color w:val="000000"/>
                <w:sz w:val="18"/>
                <w:szCs w:val="18"/>
                <w:lang w:eastAsia="en-GB"/>
              </w:rPr>
              <w:t>-</w:t>
            </w:r>
            <w:r w:rsidR="00950F43" w:rsidRPr="00A55986">
              <w:rPr>
                <w:rFonts w:eastAsia="Times New Roman"/>
                <w:b/>
                <w:color w:val="000000"/>
                <w:sz w:val="18"/>
                <w:szCs w:val="18"/>
                <w:lang w:eastAsia="en-GB"/>
              </w:rPr>
              <w:t xml:space="preserve"> </w:t>
            </w:r>
            <w:r w:rsidRPr="00A55986">
              <w:rPr>
                <w:rFonts w:eastAsia="Times New Roman"/>
                <w:b/>
                <w:color w:val="000000"/>
                <w:sz w:val="18"/>
                <w:szCs w:val="18"/>
                <w:lang w:eastAsia="en-GB"/>
              </w:rPr>
              <w:t>6</w:t>
            </w:r>
          </w:p>
        </w:tc>
        <w:tc>
          <w:tcPr>
            <w:tcW w:w="1559" w:type="dxa"/>
            <w:shd w:val="clear" w:color="auto" w:fill="F2F2F2" w:themeFill="background1" w:themeFillShade="F2"/>
            <w:vAlign w:val="center"/>
          </w:tcPr>
          <w:p w14:paraId="3EDBBA21" w14:textId="77777777" w:rsidR="00E8162B" w:rsidRPr="00A55986" w:rsidRDefault="00D27D3B" w:rsidP="00987AED">
            <w:pPr>
              <w:autoSpaceDE w:val="0"/>
              <w:autoSpaceDN w:val="0"/>
              <w:adjustRightInd w:val="0"/>
              <w:jc w:val="center"/>
              <w:rPr>
                <w:rFonts w:eastAsia="Times New Roman"/>
                <w:b/>
                <w:color w:val="000000"/>
                <w:sz w:val="18"/>
                <w:szCs w:val="18"/>
                <w:lang w:eastAsia="en-GB"/>
              </w:rPr>
            </w:pPr>
            <w:r w:rsidRPr="00A55986">
              <w:rPr>
                <w:rFonts w:eastAsia="Times New Roman"/>
                <w:b/>
                <w:color w:val="000000"/>
                <w:sz w:val="18"/>
                <w:szCs w:val="18"/>
                <w:lang w:eastAsia="en-GB"/>
              </w:rPr>
              <w:t>Middle School</w:t>
            </w:r>
            <w:r w:rsidR="00E10E08" w:rsidRPr="00A55986">
              <w:rPr>
                <w:rFonts w:eastAsia="Times New Roman"/>
                <w:b/>
                <w:color w:val="000000"/>
                <w:sz w:val="18"/>
                <w:szCs w:val="18"/>
                <w:lang w:eastAsia="en-GB"/>
              </w:rPr>
              <w:t xml:space="preserve"> </w:t>
            </w:r>
          </w:p>
          <w:p w14:paraId="0E806673" w14:textId="365C3C7D" w:rsidR="00E8162B" w:rsidRPr="00A55986" w:rsidRDefault="00E8162B" w:rsidP="00987AED">
            <w:pPr>
              <w:autoSpaceDE w:val="0"/>
              <w:autoSpaceDN w:val="0"/>
              <w:adjustRightInd w:val="0"/>
              <w:jc w:val="center"/>
              <w:rPr>
                <w:color w:val="000000" w:themeColor="text1"/>
                <w:sz w:val="18"/>
                <w:szCs w:val="18"/>
                <w:lang w:val="en-GB" w:eastAsia="en-GB"/>
              </w:rPr>
            </w:pPr>
            <w:r w:rsidRPr="00A55986">
              <w:rPr>
                <w:rFonts w:eastAsia="Times New Roman"/>
                <w:b/>
                <w:color w:val="000000"/>
                <w:sz w:val="18"/>
                <w:szCs w:val="18"/>
                <w:lang w:eastAsia="en-GB"/>
              </w:rPr>
              <w:t>1</w:t>
            </w:r>
            <w:r w:rsidR="00950F43" w:rsidRPr="00A55986">
              <w:rPr>
                <w:rFonts w:eastAsia="Times New Roman"/>
                <w:b/>
                <w:color w:val="000000"/>
                <w:sz w:val="18"/>
                <w:szCs w:val="18"/>
                <w:lang w:eastAsia="en-GB"/>
              </w:rPr>
              <w:t xml:space="preserve"> </w:t>
            </w:r>
            <w:r w:rsidRPr="00A55986">
              <w:rPr>
                <w:rFonts w:eastAsia="Times New Roman"/>
                <w:b/>
                <w:color w:val="000000"/>
                <w:sz w:val="18"/>
                <w:szCs w:val="18"/>
                <w:lang w:eastAsia="en-GB"/>
              </w:rPr>
              <w:t>-</w:t>
            </w:r>
            <w:r w:rsidR="00950F43" w:rsidRPr="00A55986">
              <w:rPr>
                <w:rFonts w:eastAsia="Times New Roman"/>
                <w:b/>
                <w:color w:val="000000"/>
                <w:sz w:val="18"/>
                <w:szCs w:val="18"/>
                <w:lang w:eastAsia="en-GB"/>
              </w:rPr>
              <w:t xml:space="preserve"> </w:t>
            </w:r>
            <w:r w:rsidRPr="00A55986">
              <w:rPr>
                <w:rFonts w:eastAsia="Times New Roman"/>
                <w:b/>
                <w:color w:val="000000"/>
                <w:sz w:val="18"/>
                <w:szCs w:val="18"/>
                <w:lang w:eastAsia="en-GB"/>
              </w:rPr>
              <w:t>3</w:t>
            </w:r>
          </w:p>
        </w:tc>
        <w:tc>
          <w:tcPr>
            <w:tcW w:w="1418" w:type="dxa"/>
            <w:shd w:val="clear" w:color="auto" w:fill="F2F2F2" w:themeFill="background1" w:themeFillShade="F2"/>
            <w:vAlign w:val="center"/>
          </w:tcPr>
          <w:p w14:paraId="6EE6F0D0" w14:textId="77777777" w:rsidR="00E8162B" w:rsidRPr="00A55986" w:rsidRDefault="00D27D3B" w:rsidP="00987AED">
            <w:pPr>
              <w:jc w:val="center"/>
              <w:rPr>
                <w:rFonts w:eastAsia="Times New Roman"/>
                <w:b/>
                <w:color w:val="000000"/>
                <w:sz w:val="18"/>
                <w:szCs w:val="18"/>
                <w:lang w:eastAsia="en-GB"/>
              </w:rPr>
            </w:pPr>
            <w:r w:rsidRPr="00A55986">
              <w:rPr>
                <w:rFonts w:eastAsia="Times New Roman"/>
                <w:b/>
                <w:color w:val="000000"/>
                <w:sz w:val="18"/>
                <w:szCs w:val="18"/>
                <w:lang w:eastAsia="en-GB"/>
              </w:rPr>
              <w:t>High School</w:t>
            </w:r>
          </w:p>
          <w:p w14:paraId="2CB14DC1" w14:textId="77777777" w:rsidR="00E8162B" w:rsidRPr="00A55986" w:rsidRDefault="00E8162B" w:rsidP="00987AED">
            <w:pPr>
              <w:autoSpaceDE w:val="0"/>
              <w:autoSpaceDN w:val="0"/>
              <w:adjustRightInd w:val="0"/>
              <w:jc w:val="center"/>
              <w:rPr>
                <w:color w:val="000000" w:themeColor="text1"/>
                <w:sz w:val="18"/>
                <w:szCs w:val="18"/>
                <w:lang w:val="en-GB" w:eastAsia="en-GB"/>
              </w:rPr>
            </w:pPr>
            <w:r w:rsidRPr="00A55986">
              <w:rPr>
                <w:rFonts w:eastAsia="Times New Roman"/>
                <w:b/>
                <w:color w:val="000000"/>
                <w:sz w:val="18"/>
                <w:szCs w:val="18"/>
                <w:lang w:eastAsia="en-GB"/>
              </w:rPr>
              <w:t xml:space="preserve">1 </w:t>
            </w:r>
            <w:r w:rsidR="00D27D3B" w:rsidRPr="00A55986">
              <w:rPr>
                <w:rFonts w:eastAsia="Times New Roman"/>
                <w:b/>
                <w:color w:val="000000"/>
                <w:sz w:val="18"/>
                <w:szCs w:val="18"/>
                <w:lang w:eastAsia="en-GB"/>
              </w:rPr>
              <w:t>-</w:t>
            </w:r>
            <w:r w:rsidRPr="00A55986">
              <w:rPr>
                <w:rFonts w:eastAsia="Times New Roman"/>
                <w:b/>
                <w:color w:val="000000"/>
                <w:sz w:val="18"/>
                <w:szCs w:val="18"/>
                <w:lang w:eastAsia="en-GB"/>
              </w:rPr>
              <w:t xml:space="preserve"> 2</w:t>
            </w:r>
          </w:p>
        </w:tc>
        <w:tc>
          <w:tcPr>
            <w:tcW w:w="1831" w:type="dxa"/>
            <w:shd w:val="clear" w:color="auto" w:fill="F2F2F2" w:themeFill="background1" w:themeFillShade="F2"/>
            <w:vAlign w:val="center"/>
          </w:tcPr>
          <w:p w14:paraId="2900B810" w14:textId="77777777" w:rsidR="00E8162B" w:rsidRPr="00A55986" w:rsidRDefault="00D27D3B" w:rsidP="00987AED">
            <w:pPr>
              <w:jc w:val="center"/>
              <w:rPr>
                <w:rFonts w:eastAsia="Times New Roman"/>
                <w:b/>
                <w:color w:val="000000"/>
                <w:sz w:val="18"/>
                <w:szCs w:val="18"/>
                <w:lang w:eastAsia="en-GB"/>
              </w:rPr>
            </w:pPr>
            <w:r w:rsidRPr="00A55986">
              <w:rPr>
                <w:rFonts w:eastAsia="Times New Roman"/>
                <w:b/>
                <w:color w:val="000000"/>
                <w:sz w:val="18"/>
                <w:szCs w:val="18"/>
                <w:lang w:eastAsia="en-GB"/>
              </w:rPr>
              <w:t>High School</w:t>
            </w:r>
            <w:r w:rsidR="00E8162B" w:rsidRPr="00A55986">
              <w:rPr>
                <w:rFonts w:eastAsia="Times New Roman"/>
                <w:b/>
                <w:color w:val="000000"/>
                <w:sz w:val="18"/>
                <w:szCs w:val="18"/>
                <w:lang w:eastAsia="en-GB"/>
              </w:rPr>
              <w:t xml:space="preserve"> </w:t>
            </w:r>
          </w:p>
          <w:p w14:paraId="1BA1F437" w14:textId="77777777" w:rsidR="00E8162B" w:rsidRPr="00A55986" w:rsidRDefault="00D27D3B" w:rsidP="00987AED">
            <w:pPr>
              <w:jc w:val="center"/>
              <w:rPr>
                <w:b/>
                <w:bCs/>
                <w:color w:val="000000" w:themeColor="text1"/>
                <w:sz w:val="18"/>
                <w:szCs w:val="18"/>
              </w:rPr>
            </w:pPr>
            <w:r w:rsidRPr="00A55986">
              <w:rPr>
                <w:rFonts w:eastAsia="Times New Roman"/>
                <w:b/>
                <w:color w:val="000000"/>
                <w:sz w:val="18"/>
                <w:szCs w:val="18"/>
                <w:lang w:eastAsia="en-GB"/>
              </w:rPr>
              <w:t>3</w:t>
            </w:r>
            <w:r w:rsidR="00E8162B" w:rsidRPr="00A55986">
              <w:rPr>
                <w:rFonts w:eastAsia="Times New Roman"/>
                <w:b/>
                <w:color w:val="000000"/>
                <w:sz w:val="18"/>
                <w:szCs w:val="18"/>
                <w:lang w:eastAsia="en-GB"/>
              </w:rPr>
              <w:t xml:space="preserve"> </w:t>
            </w:r>
            <w:r w:rsidRPr="00A55986">
              <w:rPr>
                <w:rFonts w:eastAsia="Times New Roman"/>
                <w:b/>
                <w:color w:val="000000"/>
                <w:sz w:val="18"/>
                <w:szCs w:val="18"/>
                <w:lang w:eastAsia="en-GB"/>
              </w:rPr>
              <w:t>-</w:t>
            </w:r>
            <w:r w:rsidR="00E8162B" w:rsidRPr="00A55986">
              <w:rPr>
                <w:rFonts w:eastAsia="Times New Roman"/>
                <w:b/>
                <w:color w:val="000000"/>
                <w:sz w:val="18"/>
                <w:szCs w:val="18"/>
                <w:lang w:eastAsia="en-GB"/>
              </w:rPr>
              <w:t xml:space="preserve"> </w:t>
            </w:r>
            <w:r w:rsidRPr="00A55986">
              <w:rPr>
                <w:rFonts w:eastAsia="Times New Roman"/>
                <w:b/>
                <w:color w:val="000000"/>
                <w:sz w:val="18"/>
                <w:szCs w:val="18"/>
                <w:lang w:eastAsia="en-GB"/>
              </w:rPr>
              <w:t>4</w:t>
            </w:r>
          </w:p>
        </w:tc>
      </w:tr>
      <w:tr w:rsidR="00E10E08" w:rsidRPr="00A55986" w14:paraId="199F3C5A" w14:textId="77777777" w:rsidTr="00A55986">
        <w:trPr>
          <w:trHeight w:val="410"/>
          <w:jc w:val="center"/>
        </w:trPr>
        <w:tc>
          <w:tcPr>
            <w:tcW w:w="3247" w:type="dxa"/>
            <w:tcBorders>
              <w:bottom w:val="single" w:sz="4" w:space="0" w:color="auto"/>
            </w:tcBorders>
            <w:shd w:val="clear" w:color="auto" w:fill="F2F2F2" w:themeFill="background1" w:themeFillShade="F2"/>
            <w:vAlign w:val="center"/>
          </w:tcPr>
          <w:p w14:paraId="5C0EC3B6" w14:textId="77777777" w:rsidR="00E8162B" w:rsidRPr="00A55986" w:rsidRDefault="00E8162B" w:rsidP="00683347">
            <w:pPr>
              <w:jc w:val="center"/>
              <w:rPr>
                <w:rFonts w:eastAsia="Times New Roman"/>
                <w:b/>
                <w:bCs/>
                <w:color w:val="000000"/>
                <w:sz w:val="18"/>
                <w:szCs w:val="18"/>
                <w:lang w:val="en-GB" w:eastAsia="en-GB"/>
              </w:rPr>
            </w:pPr>
            <w:r w:rsidRPr="00A55986">
              <w:rPr>
                <w:rFonts w:eastAsia="Times New Roman"/>
                <w:b/>
                <w:bCs/>
                <w:color w:val="000000"/>
                <w:sz w:val="18"/>
                <w:szCs w:val="18"/>
                <w:lang w:eastAsia="en-GB"/>
              </w:rPr>
              <w:t>Normal Age on</w:t>
            </w:r>
          </w:p>
          <w:p w14:paraId="3D76F9F4" w14:textId="64865AC2" w:rsidR="00E8162B" w:rsidRPr="00A55986" w:rsidRDefault="00E8162B" w:rsidP="00683347">
            <w:pPr>
              <w:jc w:val="center"/>
              <w:rPr>
                <w:rFonts w:eastAsia="Times New Roman"/>
                <w:b/>
                <w:color w:val="000000"/>
                <w:sz w:val="18"/>
                <w:szCs w:val="18"/>
                <w:lang w:eastAsia="en-GB"/>
              </w:rPr>
            </w:pPr>
            <w:r w:rsidRPr="00A55986">
              <w:rPr>
                <w:rFonts w:eastAsia="Times New Roman"/>
                <w:b/>
                <w:bCs/>
                <w:color w:val="000000"/>
                <w:sz w:val="18"/>
                <w:szCs w:val="18"/>
                <w:lang w:eastAsia="en-GB"/>
              </w:rPr>
              <w:t>1</w:t>
            </w:r>
            <w:r w:rsidRPr="00A55986">
              <w:rPr>
                <w:rFonts w:eastAsia="Times New Roman"/>
                <w:b/>
                <w:bCs/>
                <w:color w:val="000000"/>
                <w:sz w:val="18"/>
                <w:szCs w:val="18"/>
                <w:vertAlign w:val="superscript"/>
                <w:lang w:eastAsia="en-GB"/>
              </w:rPr>
              <w:t>st</w:t>
            </w:r>
            <w:r w:rsidRPr="00A55986">
              <w:rPr>
                <w:rFonts w:eastAsia="Times New Roman"/>
                <w:b/>
                <w:bCs/>
                <w:color w:val="000000"/>
                <w:sz w:val="18"/>
                <w:szCs w:val="18"/>
                <w:lang w:eastAsia="en-GB"/>
              </w:rPr>
              <w:t xml:space="preserve"> Sept 201</w:t>
            </w:r>
            <w:r w:rsidR="001B1949" w:rsidRPr="00A55986">
              <w:rPr>
                <w:rFonts w:eastAsia="Times New Roman"/>
                <w:b/>
                <w:bCs/>
                <w:color w:val="000000"/>
                <w:sz w:val="18"/>
                <w:szCs w:val="18"/>
                <w:lang w:eastAsia="en-GB"/>
              </w:rPr>
              <w:t>9</w:t>
            </w:r>
          </w:p>
        </w:tc>
        <w:tc>
          <w:tcPr>
            <w:tcW w:w="1418" w:type="dxa"/>
            <w:tcBorders>
              <w:bottom w:val="single" w:sz="4" w:space="0" w:color="auto"/>
            </w:tcBorders>
            <w:shd w:val="clear" w:color="auto" w:fill="F2F2F2" w:themeFill="background1" w:themeFillShade="F2"/>
            <w:vAlign w:val="center"/>
          </w:tcPr>
          <w:p w14:paraId="185FE181" w14:textId="77777777" w:rsidR="00E8162B" w:rsidRPr="00A55986" w:rsidRDefault="00E8162B" w:rsidP="00683347">
            <w:pPr>
              <w:jc w:val="center"/>
              <w:rPr>
                <w:rFonts w:eastAsia="Times New Roman"/>
                <w:color w:val="000000"/>
                <w:sz w:val="18"/>
                <w:szCs w:val="18"/>
                <w:lang w:eastAsia="en-GB"/>
              </w:rPr>
            </w:pPr>
            <w:r w:rsidRPr="00A55986">
              <w:rPr>
                <w:rFonts w:eastAsia="Times New Roman"/>
                <w:color w:val="000000"/>
                <w:sz w:val="18"/>
                <w:szCs w:val="18"/>
                <w:lang w:eastAsia="en-GB"/>
              </w:rPr>
              <w:t>Age 2-4</w:t>
            </w:r>
          </w:p>
        </w:tc>
        <w:tc>
          <w:tcPr>
            <w:tcW w:w="1417" w:type="dxa"/>
            <w:tcBorders>
              <w:bottom w:val="single" w:sz="4" w:space="0" w:color="auto"/>
            </w:tcBorders>
            <w:shd w:val="clear" w:color="auto" w:fill="F2F2F2" w:themeFill="background1" w:themeFillShade="F2"/>
            <w:vAlign w:val="center"/>
          </w:tcPr>
          <w:p w14:paraId="315ADFDD" w14:textId="77777777" w:rsidR="00E8162B" w:rsidRPr="00A55986" w:rsidRDefault="00E8162B" w:rsidP="00683347">
            <w:pPr>
              <w:jc w:val="center"/>
              <w:rPr>
                <w:rFonts w:eastAsia="Times New Roman"/>
                <w:color w:val="000000"/>
                <w:sz w:val="18"/>
                <w:szCs w:val="18"/>
                <w:lang w:eastAsia="en-GB"/>
              </w:rPr>
            </w:pPr>
            <w:r w:rsidRPr="00A55986">
              <w:rPr>
                <w:rFonts w:eastAsia="Times New Roman"/>
                <w:color w:val="000000"/>
                <w:sz w:val="18"/>
                <w:szCs w:val="18"/>
                <w:lang w:eastAsia="en-GB"/>
              </w:rPr>
              <w:t>Age 5-10</w:t>
            </w:r>
          </w:p>
        </w:tc>
        <w:tc>
          <w:tcPr>
            <w:tcW w:w="1559" w:type="dxa"/>
            <w:tcBorders>
              <w:bottom w:val="single" w:sz="4" w:space="0" w:color="auto"/>
            </w:tcBorders>
            <w:shd w:val="clear" w:color="auto" w:fill="F2F2F2" w:themeFill="background1" w:themeFillShade="F2"/>
            <w:vAlign w:val="center"/>
          </w:tcPr>
          <w:p w14:paraId="064AFE80" w14:textId="77777777" w:rsidR="00E8162B" w:rsidRPr="00A55986" w:rsidRDefault="00E8162B" w:rsidP="00683347">
            <w:pPr>
              <w:jc w:val="center"/>
              <w:rPr>
                <w:rFonts w:eastAsia="Times New Roman"/>
                <w:color w:val="000000"/>
                <w:sz w:val="18"/>
                <w:szCs w:val="18"/>
                <w:lang w:eastAsia="en-GB"/>
              </w:rPr>
            </w:pPr>
            <w:r w:rsidRPr="00A55986">
              <w:rPr>
                <w:rFonts w:eastAsia="Times New Roman"/>
                <w:color w:val="000000"/>
                <w:sz w:val="18"/>
                <w:szCs w:val="18"/>
                <w:lang w:eastAsia="en-GB"/>
              </w:rPr>
              <w:t>Age 11-13</w:t>
            </w:r>
          </w:p>
        </w:tc>
        <w:tc>
          <w:tcPr>
            <w:tcW w:w="1418" w:type="dxa"/>
            <w:tcBorders>
              <w:bottom w:val="single" w:sz="4" w:space="0" w:color="auto"/>
            </w:tcBorders>
            <w:shd w:val="clear" w:color="auto" w:fill="F2F2F2" w:themeFill="background1" w:themeFillShade="F2"/>
            <w:vAlign w:val="center"/>
          </w:tcPr>
          <w:p w14:paraId="0612267B" w14:textId="77777777" w:rsidR="00E8162B" w:rsidRPr="00A55986" w:rsidRDefault="00E8162B" w:rsidP="00683347">
            <w:pPr>
              <w:jc w:val="center"/>
              <w:rPr>
                <w:rFonts w:eastAsia="Times New Roman"/>
                <w:color w:val="000000"/>
                <w:sz w:val="18"/>
                <w:szCs w:val="18"/>
                <w:lang w:eastAsia="en-GB"/>
              </w:rPr>
            </w:pPr>
            <w:r w:rsidRPr="00A55986">
              <w:rPr>
                <w:rFonts w:eastAsia="Times New Roman"/>
                <w:color w:val="000000"/>
                <w:sz w:val="18"/>
                <w:szCs w:val="18"/>
                <w:lang w:eastAsia="en-GB"/>
              </w:rPr>
              <w:t>Age 14-15</w:t>
            </w:r>
          </w:p>
        </w:tc>
        <w:tc>
          <w:tcPr>
            <w:tcW w:w="1831" w:type="dxa"/>
            <w:tcBorders>
              <w:bottom w:val="single" w:sz="4" w:space="0" w:color="auto"/>
            </w:tcBorders>
            <w:shd w:val="clear" w:color="auto" w:fill="F2F2F2" w:themeFill="background1" w:themeFillShade="F2"/>
            <w:vAlign w:val="center"/>
          </w:tcPr>
          <w:p w14:paraId="015AF615" w14:textId="77777777" w:rsidR="00E8162B" w:rsidRPr="00A55986" w:rsidRDefault="00E8162B" w:rsidP="00683347">
            <w:pPr>
              <w:jc w:val="center"/>
              <w:rPr>
                <w:rFonts w:eastAsia="Times New Roman"/>
                <w:color w:val="000000" w:themeColor="text1"/>
                <w:sz w:val="18"/>
                <w:szCs w:val="18"/>
                <w:lang w:eastAsia="en-GB"/>
              </w:rPr>
            </w:pPr>
            <w:r w:rsidRPr="00A55986">
              <w:rPr>
                <w:rFonts w:eastAsia="Times New Roman"/>
                <w:color w:val="000000"/>
                <w:sz w:val="18"/>
                <w:szCs w:val="18"/>
                <w:lang w:eastAsia="en-GB"/>
              </w:rPr>
              <w:t>Age 16-17</w:t>
            </w:r>
          </w:p>
        </w:tc>
      </w:tr>
      <w:tr w:rsidR="00E10E08" w:rsidRPr="00A55986" w14:paraId="45884E93" w14:textId="77777777" w:rsidTr="00A55986">
        <w:trPr>
          <w:trHeight w:val="635"/>
          <w:jc w:val="center"/>
        </w:trPr>
        <w:tc>
          <w:tcPr>
            <w:tcW w:w="3247" w:type="dxa"/>
            <w:tcBorders>
              <w:top w:val="single" w:sz="4" w:space="0" w:color="auto"/>
              <w:bottom w:val="single" w:sz="4" w:space="0" w:color="auto"/>
            </w:tcBorders>
            <w:shd w:val="clear" w:color="auto" w:fill="FFFFCC"/>
            <w:vAlign w:val="center"/>
          </w:tcPr>
          <w:p w14:paraId="4AEBBFEC" w14:textId="3172E6E9" w:rsidR="00F90779" w:rsidRPr="00A55986" w:rsidRDefault="004C6DD2" w:rsidP="00331B4C">
            <w:pPr>
              <w:jc w:val="center"/>
              <w:rPr>
                <w:rFonts w:eastAsia="Times New Roman"/>
                <w:b/>
                <w:bCs/>
                <w:color w:val="000000"/>
                <w:sz w:val="18"/>
                <w:szCs w:val="18"/>
                <w:lang w:eastAsia="en-GB"/>
              </w:rPr>
            </w:pPr>
            <w:r w:rsidRPr="00A55986">
              <w:rPr>
                <w:rFonts w:eastAsia="Times New Roman"/>
                <w:b/>
                <w:bCs/>
                <w:color w:val="000000"/>
                <w:sz w:val="18"/>
                <w:szCs w:val="18"/>
                <w:lang w:eastAsia="en-GB"/>
              </w:rPr>
              <w:t xml:space="preserve">Standard </w:t>
            </w:r>
            <w:r w:rsidR="00331B4C" w:rsidRPr="00A55986">
              <w:rPr>
                <w:rFonts w:eastAsia="Times New Roman"/>
                <w:b/>
                <w:bCs/>
                <w:color w:val="000000"/>
                <w:sz w:val="18"/>
                <w:szCs w:val="18"/>
                <w:lang w:eastAsia="en-GB"/>
              </w:rPr>
              <w:t xml:space="preserve">Annual Fee in ‘000SOM </w:t>
            </w:r>
            <w:proofErr w:type="spellStart"/>
            <w:r w:rsidR="00331B4C" w:rsidRPr="00A55986">
              <w:rPr>
                <w:rFonts w:eastAsia="Times New Roman"/>
                <w:b/>
                <w:color w:val="000000"/>
                <w:sz w:val="18"/>
                <w:szCs w:val="18"/>
                <w:lang w:eastAsia="en-GB"/>
              </w:rPr>
              <w:t>inc.</w:t>
            </w:r>
            <w:proofErr w:type="spellEnd"/>
            <w:r w:rsidR="00331B4C" w:rsidRPr="00A55986">
              <w:rPr>
                <w:rFonts w:eastAsia="Times New Roman"/>
                <w:b/>
                <w:color w:val="000000"/>
                <w:sz w:val="18"/>
                <w:szCs w:val="18"/>
                <w:lang w:eastAsia="en-GB"/>
              </w:rPr>
              <w:t xml:space="preserve"> Capital Fund Fee of 350</w:t>
            </w:r>
            <w:r w:rsidR="00092067" w:rsidRPr="00A55986">
              <w:rPr>
                <w:rFonts w:eastAsia="Times New Roman"/>
                <w:b/>
                <w:color w:val="000000"/>
                <w:sz w:val="18"/>
                <w:szCs w:val="18"/>
                <w:lang w:eastAsia="en-GB"/>
              </w:rPr>
              <w:t>,0</w:t>
            </w:r>
            <w:r w:rsidR="00F90779" w:rsidRPr="00A55986">
              <w:rPr>
                <w:rFonts w:eastAsia="Times New Roman"/>
                <w:b/>
                <w:color w:val="000000"/>
                <w:sz w:val="18"/>
                <w:szCs w:val="18"/>
                <w:lang w:eastAsia="en-GB"/>
              </w:rPr>
              <w:t>00</w:t>
            </w:r>
            <w:r w:rsidR="00331B4C" w:rsidRPr="00A55986">
              <w:rPr>
                <w:rFonts w:eastAsia="Times New Roman"/>
                <w:b/>
                <w:color w:val="000000"/>
                <w:sz w:val="18"/>
                <w:szCs w:val="18"/>
                <w:lang w:eastAsia="en-GB"/>
              </w:rPr>
              <w:t xml:space="preserve"> SOM</w:t>
            </w:r>
            <w:r w:rsidR="00F90779" w:rsidRPr="00A55986">
              <w:rPr>
                <w:rFonts w:eastAsia="Times New Roman"/>
                <w:b/>
                <w:color w:val="000000"/>
                <w:sz w:val="18"/>
                <w:szCs w:val="18"/>
                <w:lang w:eastAsia="en-GB"/>
              </w:rPr>
              <w:t xml:space="preserve"> from Primary</w:t>
            </w:r>
          </w:p>
        </w:tc>
        <w:tc>
          <w:tcPr>
            <w:tcW w:w="1418" w:type="dxa"/>
            <w:tcBorders>
              <w:top w:val="single" w:sz="4" w:space="0" w:color="auto"/>
              <w:bottom w:val="single" w:sz="4" w:space="0" w:color="auto"/>
            </w:tcBorders>
            <w:shd w:val="clear" w:color="auto" w:fill="FFFFCC"/>
            <w:vAlign w:val="center"/>
          </w:tcPr>
          <w:p w14:paraId="512E9178" w14:textId="172867CE" w:rsidR="00E8162B" w:rsidRPr="00A55986" w:rsidRDefault="00C82889" w:rsidP="00987AED">
            <w:pPr>
              <w:jc w:val="center"/>
              <w:rPr>
                <w:rFonts w:eastAsia="Times New Roman"/>
                <w:color w:val="000000" w:themeColor="text1"/>
                <w:sz w:val="18"/>
                <w:szCs w:val="18"/>
                <w:lang w:eastAsia="en-GB"/>
              </w:rPr>
            </w:pPr>
            <w:r>
              <w:rPr>
                <w:b/>
                <w:bCs/>
                <w:color w:val="000000"/>
                <w:sz w:val="18"/>
                <w:szCs w:val="18"/>
              </w:rPr>
              <w:t>688</w:t>
            </w:r>
          </w:p>
        </w:tc>
        <w:tc>
          <w:tcPr>
            <w:tcW w:w="1417" w:type="dxa"/>
            <w:tcBorders>
              <w:top w:val="single" w:sz="4" w:space="0" w:color="auto"/>
              <w:bottom w:val="single" w:sz="4" w:space="0" w:color="auto"/>
            </w:tcBorders>
            <w:shd w:val="clear" w:color="auto" w:fill="FFFFCC"/>
            <w:vAlign w:val="center"/>
          </w:tcPr>
          <w:p w14:paraId="028F8AC1" w14:textId="6DB06B8D" w:rsidR="00E8162B" w:rsidRPr="00A55986" w:rsidRDefault="00C82889" w:rsidP="00987AED">
            <w:pPr>
              <w:jc w:val="center"/>
              <w:rPr>
                <w:rFonts w:eastAsia="Times New Roman"/>
                <w:b/>
                <w:color w:val="000000" w:themeColor="text1"/>
                <w:sz w:val="18"/>
                <w:szCs w:val="18"/>
                <w:lang w:eastAsia="en-GB"/>
              </w:rPr>
            </w:pPr>
            <w:r>
              <w:rPr>
                <w:b/>
                <w:bCs/>
                <w:color w:val="000000"/>
                <w:sz w:val="18"/>
                <w:szCs w:val="18"/>
              </w:rPr>
              <w:t>1292</w:t>
            </w:r>
          </w:p>
        </w:tc>
        <w:tc>
          <w:tcPr>
            <w:tcW w:w="1559" w:type="dxa"/>
            <w:tcBorders>
              <w:top w:val="single" w:sz="4" w:space="0" w:color="auto"/>
              <w:bottom w:val="single" w:sz="4" w:space="0" w:color="auto"/>
            </w:tcBorders>
            <w:shd w:val="clear" w:color="auto" w:fill="FFFFCC"/>
            <w:vAlign w:val="center"/>
          </w:tcPr>
          <w:p w14:paraId="57CABFA4" w14:textId="645EC6D8" w:rsidR="00E8162B" w:rsidRPr="00A55986" w:rsidRDefault="00C82889" w:rsidP="00987AED">
            <w:pPr>
              <w:autoSpaceDE w:val="0"/>
              <w:autoSpaceDN w:val="0"/>
              <w:adjustRightInd w:val="0"/>
              <w:jc w:val="center"/>
              <w:rPr>
                <w:rFonts w:eastAsia="Times New Roman"/>
                <w:color w:val="000000" w:themeColor="text1"/>
                <w:sz w:val="18"/>
                <w:szCs w:val="18"/>
                <w:lang w:eastAsia="en-GB"/>
              </w:rPr>
            </w:pPr>
            <w:r>
              <w:rPr>
                <w:b/>
                <w:bCs/>
                <w:color w:val="000000"/>
                <w:sz w:val="18"/>
                <w:szCs w:val="18"/>
              </w:rPr>
              <w:t>1338</w:t>
            </w:r>
          </w:p>
        </w:tc>
        <w:tc>
          <w:tcPr>
            <w:tcW w:w="1418" w:type="dxa"/>
            <w:tcBorders>
              <w:top w:val="single" w:sz="4" w:space="0" w:color="auto"/>
              <w:bottom w:val="single" w:sz="4" w:space="0" w:color="auto"/>
            </w:tcBorders>
            <w:shd w:val="clear" w:color="auto" w:fill="FFFFCC"/>
            <w:vAlign w:val="center"/>
          </w:tcPr>
          <w:p w14:paraId="1826D2E5" w14:textId="07660FFC" w:rsidR="00E8162B" w:rsidRPr="00A55986" w:rsidRDefault="00C82889" w:rsidP="00987AED">
            <w:pPr>
              <w:autoSpaceDE w:val="0"/>
              <w:autoSpaceDN w:val="0"/>
              <w:adjustRightInd w:val="0"/>
              <w:jc w:val="center"/>
              <w:rPr>
                <w:rFonts w:eastAsia="Times New Roman"/>
                <w:color w:val="000000" w:themeColor="text1"/>
                <w:sz w:val="18"/>
                <w:szCs w:val="18"/>
                <w:lang w:eastAsia="en-GB"/>
              </w:rPr>
            </w:pPr>
            <w:r>
              <w:rPr>
                <w:b/>
                <w:bCs/>
                <w:color w:val="000000"/>
                <w:sz w:val="18"/>
                <w:szCs w:val="18"/>
              </w:rPr>
              <w:t>1386</w:t>
            </w:r>
          </w:p>
        </w:tc>
        <w:tc>
          <w:tcPr>
            <w:tcW w:w="1831" w:type="dxa"/>
            <w:tcBorders>
              <w:top w:val="single" w:sz="4" w:space="0" w:color="auto"/>
              <w:bottom w:val="single" w:sz="4" w:space="0" w:color="auto"/>
            </w:tcBorders>
            <w:shd w:val="clear" w:color="auto" w:fill="FFFFCC"/>
            <w:vAlign w:val="center"/>
          </w:tcPr>
          <w:p w14:paraId="24755D48" w14:textId="24B06131" w:rsidR="00E8162B" w:rsidRPr="00A55986" w:rsidRDefault="00C82889" w:rsidP="00987AED">
            <w:pPr>
              <w:autoSpaceDE w:val="0"/>
              <w:autoSpaceDN w:val="0"/>
              <w:adjustRightInd w:val="0"/>
              <w:jc w:val="center"/>
              <w:rPr>
                <w:rFonts w:eastAsia="Times New Roman"/>
                <w:color w:val="000000" w:themeColor="text1"/>
                <w:sz w:val="18"/>
                <w:szCs w:val="18"/>
                <w:lang w:eastAsia="en-GB"/>
              </w:rPr>
            </w:pPr>
            <w:r>
              <w:rPr>
                <w:b/>
                <w:bCs/>
                <w:color w:val="000000"/>
                <w:sz w:val="18"/>
                <w:szCs w:val="18"/>
              </w:rPr>
              <w:t>1437</w:t>
            </w:r>
          </w:p>
        </w:tc>
      </w:tr>
      <w:tr w:rsidR="00F90779" w:rsidRPr="00A55986" w14:paraId="072C52F8" w14:textId="77777777" w:rsidTr="00A55986">
        <w:trPr>
          <w:trHeight w:val="455"/>
          <w:jc w:val="center"/>
        </w:trPr>
        <w:tc>
          <w:tcPr>
            <w:tcW w:w="3247" w:type="dxa"/>
            <w:tcBorders>
              <w:top w:val="single" w:sz="4" w:space="0" w:color="auto"/>
              <w:bottom w:val="single" w:sz="12" w:space="0" w:color="auto"/>
            </w:tcBorders>
            <w:shd w:val="clear" w:color="auto" w:fill="FFFFCC"/>
            <w:vAlign w:val="center"/>
          </w:tcPr>
          <w:p w14:paraId="37225827" w14:textId="14CD42DA" w:rsidR="004C6DD2" w:rsidRPr="00A55986" w:rsidRDefault="004C6DD2" w:rsidP="00F90779">
            <w:pPr>
              <w:jc w:val="center"/>
              <w:rPr>
                <w:rFonts w:eastAsia="Times New Roman"/>
                <w:b/>
                <w:bCs/>
                <w:color w:val="000000"/>
                <w:sz w:val="18"/>
                <w:szCs w:val="18"/>
                <w:lang w:eastAsia="en-GB"/>
              </w:rPr>
            </w:pPr>
            <w:r w:rsidRPr="00A55986">
              <w:rPr>
                <w:rFonts w:eastAsia="Times New Roman"/>
                <w:b/>
                <w:bCs/>
                <w:color w:val="000000"/>
                <w:sz w:val="18"/>
                <w:szCs w:val="18"/>
                <w:lang w:eastAsia="en-GB"/>
              </w:rPr>
              <w:t xml:space="preserve">Standard </w:t>
            </w:r>
            <w:r w:rsidR="00F90779" w:rsidRPr="00A55986">
              <w:rPr>
                <w:rFonts w:eastAsia="Times New Roman"/>
                <w:b/>
                <w:bCs/>
                <w:color w:val="000000"/>
                <w:sz w:val="18"/>
                <w:szCs w:val="18"/>
                <w:lang w:eastAsia="en-GB"/>
              </w:rPr>
              <w:t>Annual Fee</w:t>
            </w:r>
            <w:r w:rsidR="00331B4C" w:rsidRPr="00A55986">
              <w:rPr>
                <w:rFonts w:eastAsia="Times New Roman"/>
                <w:b/>
                <w:bCs/>
                <w:color w:val="000000"/>
                <w:sz w:val="18"/>
                <w:szCs w:val="18"/>
                <w:lang w:eastAsia="en-GB"/>
              </w:rPr>
              <w:t xml:space="preserve"> in ‘000</w:t>
            </w:r>
          </w:p>
          <w:p w14:paraId="729F9F05" w14:textId="2A562D67" w:rsidR="00F90779" w:rsidRPr="00A55986" w:rsidRDefault="00331B4C" w:rsidP="00F90779">
            <w:pPr>
              <w:jc w:val="center"/>
              <w:rPr>
                <w:rFonts w:eastAsia="Times New Roman"/>
                <w:b/>
                <w:bCs/>
                <w:color w:val="000000"/>
                <w:sz w:val="18"/>
                <w:szCs w:val="18"/>
                <w:lang w:eastAsia="en-GB"/>
              </w:rPr>
            </w:pPr>
            <w:r w:rsidRPr="00A55986">
              <w:rPr>
                <w:rFonts w:eastAsia="Times New Roman"/>
                <w:b/>
                <w:bCs/>
                <w:color w:val="000000"/>
                <w:sz w:val="18"/>
                <w:szCs w:val="18"/>
                <w:lang w:eastAsia="en-GB"/>
              </w:rPr>
              <w:t xml:space="preserve">SOM </w:t>
            </w:r>
            <w:r w:rsidR="00F90779" w:rsidRPr="00A55986">
              <w:rPr>
                <w:rFonts w:eastAsia="Times New Roman"/>
                <w:b/>
                <w:bCs/>
                <w:color w:val="000000"/>
                <w:sz w:val="18"/>
                <w:szCs w:val="18"/>
                <w:lang w:eastAsia="en-GB"/>
              </w:rPr>
              <w:t>with CFF</w:t>
            </w:r>
            <w:r w:rsidRPr="00A55986">
              <w:rPr>
                <w:rFonts w:eastAsia="Times New Roman"/>
                <w:b/>
                <w:bCs/>
                <w:color w:val="000000"/>
                <w:sz w:val="18"/>
                <w:szCs w:val="18"/>
                <w:lang w:eastAsia="en-GB"/>
              </w:rPr>
              <w:t>*</w:t>
            </w:r>
            <w:r w:rsidR="00F90779" w:rsidRPr="00A55986">
              <w:rPr>
                <w:rFonts w:eastAsia="Times New Roman"/>
                <w:b/>
                <w:bCs/>
                <w:color w:val="000000"/>
                <w:sz w:val="18"/>
                <w:szCs w:val="18"/>
                <w:lang w:eastAsia="en-GB"/>
              </w:rPr>
              <w:t xml:space="preserve"> Waiver</w:t>
            </w:r>
          </w:p>
        </w:tc>
        <w:tc>
          <w:tcPr>
            <w:tcW w:w="1418" w:type="dxa"/>
            <w:tcBorders>
              <w:top w:val="single" w:sz="4" w:space="0" w:color="auto"/>
              <w:bottom w:val="single" w:sz="12" w:space="0" w:color="auto"/>
            </w:tcBorders>
            <w:shd w:val="clear" w:color="auto" w:fill="FFFFCC"/>
            <w:vAlign w:val="center"/>
          </w:tcPr>
          <w:p w14:paraId="70A47202" w14:textId="5B9EA256" w:rsidR="00F90779" w:rsidRPr="00A55986" w:rsidRDefault="00C82889" w:rsidP="00F90779">
            <w:pPr>
              <w:jc w:val="center"/>
              <w:rPr>
                <w:b/>
                <w:bCs/>
                <w:color w:val="000000"/>
                <w:sz w:val="18"/>
                <w:szCs w:val="18"/>
              </w:rPr>
            </w:pPr>
            <w:r>
              <w:rPr>
                <w:b/>
                <w:bCs/>
                <w:color w:val="000000"/>
                <w:sz w:val="18"/>
                <w:szCs w:val="18"/>
              </w:rPr>
              <w:t>688</w:t>
            </w:r>
          </w:p>
        </w:tc>
        <w:tc>
          <w:tcPr>
            <w:tcW w:w="1417" w:type="dxa"/>
            <w:tcBorders>
              <w:top w:val="single" w:sz="4" w:space="0" w:color="auto"/>
              <w:bottom w:val="single" w:sz="12" w:space="0" w:color="auto"/>
            </w:tcBorders>
            <w:shd w:val="clear" w:color="auto" w:fill="FFFFCC"/>
            <w:vAlign w:val="center"/>
          </w:tcPr>
          <w:p w14:paraId="6FB6A5D8" w14:textId="13CBAA8E" w:rsidR="00F90779" w:rsidRPr="00A55986" w:rsidRDefault="00C82889" w:rsidP="00F90779">
            <w:pPr>
              <w:jc w:val="center"/>
              <w:rPr>
                <w:b/>
                <w:bCs/>
                <w:color w:val="000000"/>
                <w:sz w:val="18"/>
                <w:szCs w:val="18"/>
              </w:rPr>
            </w:pPr>
            <w:r>
              <w:rPr>
                <w:b/>
                <w:bCs/>
                <w:color w:val="000000"/>
                <w:sz w:val="18"/>
                <w:szCs w:val="18"/>
              </w:rPr>
              <w:t>917</w:t>
            </w:r>
          </w:p>
        </w:tc>
        <w:tc>
          <w:tcPr>
            <w:tcW w:w="1559" w:type="dxa"/>
            <w:tcBorders>
              <w:top w:val="single" w:sz="4" w:space="0" w:color="auto"/>
              <w:bottom w:val="single" w:sz="12" w:space="0" w:color="auto"/>
            </w:tcBorders>
            <w:shd w:val="clear" w:color="auto" w:fill="FFFFCC"/>
            <w:vAlign w:val="center"/>
          </w:tcPr>
          <w:p w14:paraId="4D0537B2" w14:textId="0265EB5A" w:rsidR="00F90779" w:rsidRPr="00A55986" w:rsidRDefault="00C82889" w:rsidP="00F90779">
            <w:pPr>
              <w:autoSpaceDE w:val="0"/>
              <w:autoSpaceDN w:val="0"/>
              <w:adjustRightInd w:val="0"/>
              <w:jc w:val="center"/>
              <w:rPr>
                <w:b/>
                <w:bCs/>
                <w:color w:val="000000"/>
                <w:sz w:val="18"/>
                <w:szCs w:val="18"/>
              </w:rPr>
            </w:pPr>
            <w:r>
              <w:rPr>
                <w:b/>
                <w:bCs/>
                <w:color w:val="000000"/>
                <w:sz w:val="18"/>
                <w:szCs w:val="18"/>
              </w:rPr>
              <w:t>963</w:t>
            </w:r>
          </w:p>
        </w:tc>
        <w:tc>
          <w:tcPr>
            <w:tcW w:w="1418" w:type="dxa"/>
            <w:tcBorders>
              <w:top w:val="single" w:sz="4" w:space="0" w:color="auto"/>
              <w:bottom w:val="single" w:sz="12" w:space="0" w:color="auto"/>
            </w:tcBorders>
            <w:shd w:val="clear" w:color="auto" w:fill="FFFFCC"/>
            <w:vAlign w:val="center"/>
          </w:tcPr>
          <w:p w14:paraId="5C36749D" w14:textId="3C3B9988" w:rsidR="00F90779" w:rsidRPr="00A55986" w:rsidRDefault="00C82889" w:rsidP="00F90779">
            <w:pPr>
              <w:autoSpaceDE w:val="0"/>
              <w:autoSpaceDN w:val="0"/>
              <w:adjustRightInd w:val="0"/>
              <w:jc w:val="center"/>
              <w:rPr>
                <w:b/>
                <w:bCs/>
                <w:color w:val="000000"/>
                <w:sz w:val="18"/>
                <w:szCs w:val="18"/>
              </w:rPr>
            </w:pPr>
            <w:r>
              <w:rPr>
                <w:b/>
                <w:bCs/>
                <w:color w:val="000000"/>
                <w:sz w:val="18"/>
                <w:szCs w:val="18"/>
              </w:rPr>
              <w:t>1011</w:t>
            </w:r>
          </w:p>
        </w:tc>
        <w:tc>
          <w:tcPr>
            <w:tcW w:w="1831" w:type="dxa"/>
            <w:tcBorders>
              <w:top w:val="single" w:sz="4" w:space="0" w:color="auto"/>
              <w:bottom w:val="single" w:sz="12" w:space="0" w:color="auto"/>
            </w:tcBorders>
            <w:shd w:val="clear" w:color="auto" w:fill="FFFFCC"/>
            <w:vAlign w:val="center"/>
          </w:tcPr>
          <w:p w14:paraId="302499C8" w14:textId="003F6881" w:rsidR="00F90779" w:rsidRPr="00A55986" w:rsidRDefault="00C82889" w:rsidP="00F90779">
            <w:pPr>
              <w:autoSpaceDE w:val="0"/>
              <w:autoSpaceDN w:val="0"/>
              <w:adjustRightInd w:val="0"/>
              <w:jc w:val="center"/>
              <w:rPr>
                <w:b/>
                <w:bCs/>
                <w:color w:val="000000"/>
                <w:sz w:val="18"/>
                <w:szCs w:val="18"/>
              </w:rPr>
            </w:pPr>
            <w:r>
              <w:rPr>
                <w:b/>
                <w:bCs/>
                <w:color w:val="000000"/>
                <w:sz w:val="18"/>
                <w:szCs w:val="18"/>
              </w:rPr>
              <w:t>1062</w:t>
            </w:r>
          </w:p>
        </w:tc>
      </w:tr>
      <w:tr w:rsidR="00F90779" w:rsidRPr="00A55986" w14:paraId="48AF3F2F" w14:textId="77777777" w:rsidTr="00A55986">
        <w:trPr>
          <w:trHeight w:val="840"/>
          <w:jc w:val="center"/>
        </w:trPr>
        <w:tc>
          <w:tcPr>
            <w:tcW w:w="10890" w:type="dxa"/>
            <w:gridSpan w:val="6"/>
            <w:tcBorders>
              <w:top w:val="single" w:sz="12" w:space="0" w:color="auto"/>
              <w:bottom w:val="single" w:sz="12" w:space="0" w:color="auto"/>
            </w:tcBorders>
            <w:shd w:val="clear" w:color="auto" w:fill="FFFFCC"/>
            <w:vAlign w:val="center"/>
          </w:tcPr>
          <w:p w14:paraId="01D44D89" w14:textId="1B1E63FC" w:rsidR="00F90779" w:rsidRPr="00A55986" w:rsidRDefault="004C6DD2" w:rsidP="00ED5CBA">
            <w:pPr>
              <w:spacing w:after="60"/>
              <w:jc w:val="left"/>
              <w:rPr>
                <w:b/>
                <w:bCs/>
                <w:color w:val="000000"/>
                <w:sz w:val="18"/>
                <w:szCs w:val="18"/>
                <w:lang w:val="en-US"/>
              </w:rPr>
            </w:pPr>
            <w:r w:rsidRPr="00A55986">
              <w:rPr>
                <w:rFonts w:eastAsia="Times New Roman"/>
                <w:b/>
                <w:bCs/>
                <w:caps/>
                <w:color w:val="000000"/>
                <w:sz w:val="18"/>
                <w:szCs w:val="18"/>
                <w:lang w:val="en-GB" w:eastAsia="en-GB"/>
              </w:rPr>
              <w:t xml:space="preserve">STANDARD </w:t>
            </w:r>
            <w:r w:rsidR="00F90779" w:rsidRPr="00A55986">
              <w:rPr>
                <w:rFonts w:eastAsia="Times New Roman"/>
                <w:b/>
                <w:bCs/>
                <w:caps/>
                <w:color w:val="000000"/>
                <w:sz w:val="18"/>
                <w:szCs w:val="18"/>
                <w:lang w:val="en-GB" w:eastAsia="en-GB"/>
              </w:rPr>
              <w:t>Annual Fee</w:t>
            </w:r>
            <w:r w:rsidR="00ED5CBA" w:rsidRPr="00A55986">
              <w:rPr>
                <w:rFonts w:eastAsia="Times New Roman"/>
                <w:b/>
                <w:bCs/>
                <w:caps/>
                <w:color w:val="000000"/>
                <w:sz w:val="18"/>
                <w:szCs w:val="18"/>
                <w:lang w:val="en-GB" w:eastAsia="en-GB"/>
              </w:rPr>
              <w:t xml:space="preserve">: </w:t>
            </w:r>
            <w:r w:rsidR="00F90779" w:rsidRPr="00A55986">
              <w:rPr>
                <w:rFonts w:eastAsia="Times New Roman"/>
                <w:bCs/>
                <w:color w:val="000000"/>
                <w:sz w:val="18"/>
                <w:szCs w:val="18"/>
                <w:lang w:val="en-GB" w:eastAsia="en-GB"/>
              </w:rPr>
              <w:t>Must be</w:t>
            </w:r>
            <w:r w:rsidR="00331B4C" w:rsidRPr="00A55986">
              <w:rPr>
                <w:rFonts w:eastAsia="Times New Roman"/>
                <w:bCs/>
                <w:color w:val="000000"/>
                <w:sz w:val="18"/>
                <w:szCs w:val="18"/>
                <w:lang w:val="en-GB" w:eastAsia="en-GB"/>
              </w:rPr>
              <w:t xml:space="preserve"> paid before 30</w:t>
            </w:r>
            <w:r w:rsidR="00331B4C" w:rsidRPr="00A55986">
              <w:rPr>
                <w:rFonts w:eastAsia="Times New Roman"/>
                <w:bCs/>
                <w:color w:val="000000"/>
                <w:sz w:val="18"/>
                <w:szCs w:val="18"/>
                <w:vertAlign w:val="superscript"/>
                <w:lang w:val="en-GB" w:eastAsia="en-GB"/>
              </w:rPr>
              <w:t>th</w:t>
            </w:r>
            <w:r w:rsidR="00331B4C" w:rsidRPr="00A55986">
              <w:rPr>
                <w:rFonts w:eastAsia="Times New Roman"/>
                <w:bCs/>
                <w:color w:val="000000"/>
                <w:sz w:val="18"/>
                <w:szCs w:val="18"/>
                <w:lang w:val="en-GB" w:eastAsia="en-GB"/>
              </w:rPr>
              <w:t xml:space="preserve"> June or within 5 days of enrolment if enrolled later. Places in the school are only guaranteed when at least 10% of the annual fee is paid, except for institutions paying the Capital Fund Fee who are guaranteed when enrolled. 5% discount for first younger sibling. 15% for other younger siblings by agreement.</w:t>
            </w:r>
          </w:p>
        </w:tc>
      </w:tr>
      <w:tr w:rsidR="00F90779" w:rsidRPr="00A55986" w14:paraId="70471E70" w14:textId="77777777" w:rsidTr="00A55986">
        <w:tblPrEx>
          <w:tblBorders>
            <w:insideH w:val="single" w:sz="12" w:space="0" w:color="auto"/>
            <w:insideV w:val="single" w:sz="12" w:space="0" w:color="auto"/>
          </w:tblBorders>
          <w:tblCellMar>
            <w:left w:w="108" w:type="dxa"/>
            <w:right w:w="108" w:type="dxa"/>
          </w:tblCellMar>
        </w:tblPrEx>
        <w:trPr>
          <w:jc w:val="center"/>
        </w:trPr>
        <w:tc>
          <w:tcPr>
            <w:tcW w:w="10890" w:type="dxa"/>
            <w:gridSpan w:val="6"/>
            <w:tcBorders>
              <w:top w:val="single" w:sz="12" w:space="0" w:color="auto"/>
              <w:left w:val="nil"/>
              <w:bottom w:val="single" w:sz="12" w:space="0" w:color="auto"/>
              <w:right w:val="nil"/>
            </w:tcBorders>
            <w:shd w:val="clear" w:color="auto" w:fill="auto"/>
            <w:vAlign w:val="center"/>
          </w:tcPr>
          <w:p w14:paraId="6ED80510" w14:textId="77777777" w:rsidR="00F90779" w:rsidRPr="00A55986" w:rsidRDefault="00F90779" w:rsidP="00BA5670">
            <w:pPr>
              <w:spacing w:before="80"/>
              <w:jc w:val="left"/>
              <w:rPr>
                <w:rFonts w:eastAsia="Times New Roman"/>
                <w:b/>
                <w:bCs/>
                <w:color w:val="000000"/>
                <w:sz w:val="18"/>
                <w:szCs w:val="18"/>
                <w:lang w:eastAsia="en-GB"/>
              </w:rPr>
            </w:pPr>
            <w:r w:rsidRPr="00A55986">
              <w:rPr>
                <w:rFonts w:eastAsia="Times New Roman"/>
                <w:b/>
                <w:bCs/>
                <w:color w:val="000000"/>
                <w:sz w:val="18"/>
                <w:szCs w:val="18"/>
                <w:lang w:eastAsia="en-GB"/>
              </w:rPr>
              <w:t>OTHER OPTIONS FOR PAYMENT</w:t>
            </w:r>
          </w:p>
        </w:tc>
      </w:tr>
      <w:tr w:rsidR="00F90779" w:rsidRPr="00A55986" w14:paraId="675AF601" w14:textId="77777777" w:rsidTr="00A55986">
        <w:tblPrEx>
          <w:tblBorders>
            <w:insideH w:val="single" w:sz="12" w:space="0" w:color="auto"/>
            <w:insideV w:val="single" w:sz="12" w:space="0" w:color="auto"/>
          </w:tblBorders>
          <w:tblCellMar>
            <w:left w:w="108" w:type="dxa"/>
            <w:right w:w="108" w:type="dxa"/>
          </w:tblCellMar>
        </w:tblPrEx>
        <w:trPr>
          <w:jc w:val="center"/>
        </w:trPr>
        <w:tc>
          <w:tcPr>
            <w:tcW w:w="10890" w:type="dxa"/>
            <w:gridSpan w:val="6"/>
            <w:tcBorders>
              <w:top w:val="single" w:sz="12" w:space="0" w:color="auto"/>
              <w:bottom w:val="single" w:sz="12" w:space="0" w:color="auto"/>
            </w:tcBorders>
            <w:shd w:val="clear" w:color="auto" w:fill="FEF4EC"/>
            <w:vAlign w:val="center"/>
            <w:hideMark/>
          </w:tcPr>
          <w:p w14:paraId="7367909E" w14:textId="77777777" w:rsidR="00F90779" w:rsidRPr="00A55986" w:rsidRDefault="00F90779" w:rsidP="00BA5670">
            <w:pPr>
              <w:spacing w:before="60"/>
              <w:jc w:val="left"/>
              <w:rPr>
                <w:rFonts w:eastAsia="Times New Roman"/>
                <w:b/>
                <w:color w:val="000000"/>
                <w:sz w:val="18"/>
                <w:szCs w:val="18"/>
                <w:lang w:val="en-GB" w:eastAsia="en-GB"/>
              </w:rPr>
            </w:pPr>
            <w:r w:rsidRPr="00A55986">
              <w:rPr>
                <w:rFonts w:eastAsia="Times New Roman"/>
                <w:b/>
                <w:bCs/>
                <w:color w:val="000000"/>
                <w:sz w:val="18"/>
                <w:szCs w:val="18"/>
                <w:lang w:eastAsia="en-GB"/>
              </w:rPr>
              <w:t>CORPORATE MEMBER ANNUAL FEE: 20% discount from the ‘Standard Annual Fee’</w:t>
            </w:r>
          </w:p>
          <w:p w14:paraId="6723E6D2" w14:textId="45E5597E" w:rsidR="00F90779" w:rsidRPr="00A55986" w:rsidRDefault="00973ADA" w:rsidP="00973ADA">
            <w:pPr>
              <w:spacing w:before="40" w:after="40"/>
              <w:jc w:val="left"/>
              <w:rPr>
                <w:rFonts w:eastAsia="Times New Roman"/>
                <w:bCs/>
                <w:color w:val="000000"/>
                <w:sz w:val="18"/>
                <w:szCs w:val="18"/>
                <w:lang w:val="en-GB" w:eastAsia="en-GB"/>
              </w:rPr>
            </w:pPr>
            <w:r w:rsidRPr="00A55986">
              <w:rPr>
                <w:rFonts w:eastAsia="Times New Roman"/>
                <w:bCs/>
                <w:color w:val="000000"/>
                <w:sz w:val="18"/>
                <w:szCs w:val="18"/>
                <w:lang w:val="en-GB" w:eastAsia="en-GB"/>
              </w:rPr>
              <w:t>Available to organisations paying directly for 5 or more students who are citizens of countries with per capita GDP less than $30,000. Fees must be paid directly to BIS by the Group Administrator with full non-refundable annual payment before 30th June, or within 5 days of enrolment if enrolled later. Group membership must be notified to the school before 15th June to allow invoice in time. There are no monthly or term payment options and no sibling discounts.</w:t>
            </w:r>
          </w:p>
        </w:tc>
      </w:tr>
      <w:tr w:rsidR="00F90779" w:rsidRPr="00A55986" w14:paraId="4DC83863" w14:textId="77777777" w:rsidTr="00A55986">
        <w:tblPrEx>
          <w:tblBorders>
            <w:insideH w:val="single" w:sz="12" w:space="0" w:color="auto"/>
            <w:insideV w:val="single" w:sz="12" w:space="0" w:color="auto"/>
          </w:tblBorders>
          <w:tblCellMar>
            <w:left w:w="108" w:type="dxa"/>
            <w:right w:w="108" w:type="dxa"/>
          </w:tblCellMar>
        </w:tblPrEx>
        <w:trPr>
          <w:jc w:val="center"/>
        </w:trPr>
        <w:tc>
          <w:tcPr>
            <w:tcW w:w="10890" w:type="dxa"/>
            <w:gridSpan w:val="6"/>
            <w:tcBorders>
              <w:top w:val="single" w:sz="12" w:space="0" w:color="auto"/>
              <w:bottom w:val="single" w:sz="12" w:space="0" w:color="auto"/>
            </w:tcBorders>
            <w:shd w:val="clear" w:color="auto" w:fill="E3F7F9"/>
            <w:vAlign w:val="center"/>
          </w:tcPr>
          <w:p w14:paraId="279C7DE6" w14:textId="35C25F36" w:rsidR="00F90779" w:rsidRPr="00A55986" w:rsidRDefault="00F90779" w:rsidP="00BA5670">
            <w:pPr>
              <w:spacing w:before="60"/>
              <w:jc w:val="left"/>
              <w:rPr>
                <w:rFonts w:eastAsia="Times New Roman"/>
                <w:b/>
                <w:bCs/>
                <w:color w:val="000000"/>
                <w:sz w:val="18"/>
                <w:szCs w:val="18"/>
                <w:lang w:val="en-GB" w:eastAsia="en-GB"/>
              </w:rPr>
            </w:pPr>
            <w:r w:rsidRPr="00A55986">
              <w:rPr>
                <w:rFonts w:eastAsia="Times New Roman"/>
                <w:b/>
                <w:bCs/>
                <w:caps/>
                <w:color w:val="000000"/>
                <w:sz w:val="18"/>
                <w:szCs w:val="18"/>
                <w:lang w:val="en-GB" w:eastAsia="en-GB"/>
              </w:rPr>
              <w:t xml:space="preserve">FOUR Term PaymentS: 10% </w:t>
            </w:r>
            <w:r w:rsidRPr="00A55986">
              <w:rPr>
                <w:rFonts w:eastAsia="Times New Roman"/>
                <w:b/>
                <w:bCs/>
                <w:color w:val="000000"/>
                <w:sz w:val="18"/>
                <w:szCs w:val="18"/>
                <w:lang w:eastAsia="en-GB"/>
              </w:rPr>
              <w:t>higher than the ‘Standard Annual Fee’</w:t>
            </w:r>
          </w:p>
          <w:p w14:paraId="644BDF73" w14:textId="12B3D547" w:rsidR="00F90779" w:rsidRPr="00A55986" w:rsidRDefault="00F90779" w:rsidP="00973ADA">
            <w:pPr>
              <w:jc w:val="left"/>
              <w:rPr>
                <w:rFonts w:eastAsia="Times New Roman"/>
                <w:b/>
                <w:bCs/>
                <w:caps/>
                <w:color w:val="000000"/>
                <w:sz w:val="18"/>
                <w:szCs w:val="18"/>
                <w:lang w:val="en-GB" w:eastAsia="en-GB"/>
              </w:rPr>
            </w:pPr>
            <w:r w:rsidRPr="00A55986">
              <w:rPr>
                <w:rFonts w:eastAsia="Times New Roman"/>
                <w:bCs/>
                <w:color w:val="000000"/>
                <w:sz w:val="18"/>
                <w:szCs w:val="18"/>
                <w:lang w:val="en-GB" w:eastAsia="en-GB"/>
              </w:rPr>
              <w:t>(</w:t>
            </w:r>
            <w:r w:rsidR="00973ADA" w:rsidRPr="00A55986">
              <w:rPr>
                <w:rFonts w:eastAsia="Times New Roman"/>
                <w:bCs/>
                <w:color w:val="000000"/>
                <w:sz w:val="18"/>
                <w:szCs w:val="18"/>
                <w:lang w:val="en-GB" w:eastAsia="en-GB"/>
              </w:rPr>
              <w:t>(1) 20% of total before 30th June, (2) 20% before 24th Oct, (3) 30% before 24th Dec, (4) 30% before 24th March.  5% discount for first younger sibling. 15% for other younger siblings by agreement. Term payment fees are higher than the Standard Annual Fee because of the high cost of finance in Kyrgyzstan.</w:t>
            </w:r>
          </w:p>
        </w:tc>
      </w:tr>
      <w:tr w:rsidR="00F90779" w:rsidRPr="00A55986" w14:paraId="1471979D" w14:textId="77777777" w:rsidTr="00A55986">
        <w:tblPrEx>
          <w:tblBorders>
            <w:insideH w:val="single" w:sz="12" w:space="0" w:color="auto"/>
            <w:insideV w:val="single" w:sz="12" w:space="0" w:color="auto"/>
          </w:tblBorders>
          <w:tblCellMar>
            <w:left w:w="108" w:type="dxa"/>
            <w:right w:w="108" w:type="dxa"/>
          </w:tblCellMar>
        </w:tblPrEx>
        <w:trPr>
          <w:trHeight w:val="480"/>
          <w:jc w:val="center"/>
        </w:trPr>
        <w:tc>
          <w:tcPr>
            <w:tcW w:w="10890" w:type="dxa"/>
            <w:gridSpan w:val="6"/>
            <w:tcBorders>
              <w:top w:val="single" w:sz="12" w:space="0" w:color="auto"/>
              <w:bottom w:val="single" w:sz="12" w:space="0" w:color="auto"/>
            </w:tcBorders>
            <w:shd w:val="clear" w:color="auto" w:fill="DCF6D8"/>
            <w:vAlign w:val="center"/>
          </w:tcPr>
          <w:p w14:paraId="29D722FF" w14:textId="77777777" w:rsidR="00F90779" w:rsidRDefault="00C82889" w:rsidP="00A55986">
            <w:pPr>
              <w:spacing w:before="60"/>
              <w:jc w:val="left"/>
              <w:rPr>
                <w:rFonts w:eastAsia="Times New Roman"/>
                <w:b/>
                <w:bCs/>
                <w:color w:val="000000"/>
                <w:sz w:val="18"/>
                <w:szCs w:val="18"/>
                <w:lang w:eastAsia="en-GB"/>
              </w:rPr>
            </w:pPr>
            <w:r>
              <w:rPr>
                <w:rFonts w:eastAsia="Times New Roman"/>
                <w:b/>
                <w:bCs/>
                <w:caps/>
                <w:color w:val="000000"/>
                <w:sz w:val="18"/>
                <w:szCs w:val="18"/>
                <w:lang w:val="en-GB" w:eastAsia="en-GB"/>
              </w:rPr>
              <w:t>TEN Monthly PaymentS: 12</w:t>
            </w:r>
            <w:r w:rsidR="00F90779" w:rsidRPr="00A55986">
              <w:rPr>
                <w:rFonts w:eastAsia="Times New Roman"/>
                <w:b/>
                <w:bCs/>
                <w:caps/>
                <w:color w:val="000000"/>
                <w:sz w:val="18"/>
                <w:szCs w:val="18"/>
                <w:lang w:val="en-GB" w:eastAsia="en-GB"/>
              </w:rPr>
              <w:t xml:space="preserve">% </w:t>
            </w:r>
            <w:r w:rsidR="00F90779" w:rsidRPr="00A55986">
              <w:rPr>
                <w:rFonts w:eastAsia="Times New Roman"/>
                <w:b/>
                <w:bCs/>
                <w:color w:val="000000"/>
                <w:sz w:val="18"/>
                <w:szCs w:val="18"/>
                <w:lang w:eastAsia="en-GB"/>
              </w:rPr>
              <w:t>higher than the ‘Standard Annual Fee’</w:t>
            </w:r>
          </w:p>
          <w:p w14:paraId="4FBCAE25" w14:textId="76371114" w:rsidR="00C82889" w:rsidRPr="00C82889" w:rsidRDefault="00C82889" w:rsidP="00A55986">
            <w:pPr>
              <w:spacing w:before="60"/>
              <w:jc w:val="left"/>
              <w:rPr>
                <w:rFonts w:eastAsia="Times New Roman"/>
                <w:bCs/>
                <w:color w:val="000000"/>
                <w:sz w:val="18"/>
                <w:szCs w:val="18"/>
                <w:lang w:eastAsia="en-GB"/>
              </w:rPr>
            </w:pPr>
            <w:r>
              <w:rPr>
                <w:rFonts w:eastAsia="Times New Roman"/>
                <w:bCs/>
                <w:color w:val="000000"/>
                <w:sz w:val="18"/>
                <w:szCs w:val="18"/>
                <w:lang w:eastAsia="en-GB"/>
              </w:rPr>
              <w:t>The initial payment for the first month must be paid before 30</w:t>
            </w:r>
            <w:r w:rsidRPr="00C82889">
              <w:rPr>
                <w:rFonts w:eastAsia="Times New Roman"/>
                <w:bCs/>
                <w:color w:val="000000"/>
                <w:sz w:val="18"/>
                <w:szCs w:val="18"/>
                <w:vertAlign w:val="superscript"/>
                <w:lang w:eastAsia="en-GB"/>
              </w:rPr>
              <w:t>th</w:t>
            </w:r>
            <w:r>
              <w:rPr>
                <w:rFonts w:eastAsia="Times New Roman"/>
                <w:bCs/>
                <w:color w:val="000000"/>
                <w:sz w:val="18"/>
                <w:szCs w:val="18"/>
                <w:lang w:eastAsia="en-GB"/>
              </w:rPr>
              <w:t xml:space="preserve"> of June (to secure a place in the school) and equal monthly payments for the reaming 9 months paid before 24</w:t>
            </w:r>
            <w:r w:rsidRPr="00C82889">
              <w:rPr>
                <w:rFonts w:eastAsia="Times New Roman"/>
                <w:bCs/>
                <w:color w:val="000000"/>
                <w:sz w:val="18"/>
                <w:szCs w:val="18"/>
                <w:vertAlign w:val="superscript"/>
                <w:lang w:eastAsia="en-GB"/>
              </w:rPr>
              <w:t>th</w:t>
            </w:r>
            <w:r>
              <w:rPr>
                <w:rFonts w:eastAsia="Times New Roman"/>
                <w:bCs/>
                <w:color w:val="000000"/>
                <w:sz w:val="18"/>
                <w:szCs w:val="18"/>
                <w:lang w:eastAsia="en-GB"/>
              </w:rPr>
              <w:t xml:space="preserve"> of the previous month. 5% discount for first younger sibling. 15% for other younger siblings by agreement. Monthly payment fees are higher because of the high cost of finance in Kyrgyzstan.</w:t>
            </w:r>
          </w:p>
        </w:tc>
      </w:tr>
      <w:tr w:rsidR="00F90779" w:rsidRPr="00A55986" w14:paraId="38722A12" w14:textId="77777777" w:rsidTr="00A55986">
        <w:tblPrEx>
          <w:tblBorders>
            <w:insideH w:val="single" w:sz="12" w:space="0" w:color="auto"/>
            <w:insideV w:val="single" w:sz="12" w:space="0" w:color="auto"/>
          </w:tblBorders>
          <w:tblCellMar>
            <w:left w:w="108" w:type="dxa"/>
            <w:right w:w="108" w:type="dxa"/>
          </w:tblCellMar>
        </w:tblPrEx>
        <w:trPr>
          <w:jc w:val="center"/>
        </w:trPr>
        <w:tc>
          <w:tcPr>
            <w:tcW w:w="10890" w:type="dxa"/>
            <w:gridSpan w:val="6"/>
            <w:tcBorders>
              <w:top w:val="single" w:sz="12" w:space="0" w:color="auto"/>
              <w:bottom w:val="single" w:sz="12" w:space="0" w:color="auto"/>
            </w:tcBorders>
            <w:shd w:val="clear" w:color="auto" w:fill="FEF4EC"/>
            <w:vAlign w:val="center"/>
            <w:hideMark/>
          </w:tcPr>
          <w:p w14:paraId="64D2112A" w14:textId="77777777" w:rsidR="00F90779" w:rsidRPr="00A55986" w:rsidRDefault="00F90779" w:rsidP="00BA5670">
            <w:pPr>
              <w:spacing w:before="60"/>
              <w:jc w:val="left"/>
              <w:rPr>
                <w:rFonts w:eastAsia="Times New Roman"/>
                <w:b/>
                <w:color w:val="000000"/>
                <w:sz w:val="18"/>
                <w:szCs w:val="18"/>
                <w:lang w:val="en-GB" w:eastAsia="en-GB"/>
              </w:rPr>
            </w:pPr>
            <w:r w:rsidRPr="00A55986">
              <w:rPr>
                <w:rFonts w:eastAsia="Times New Roman"/>
                <w:b/>
                <w:bCs/>
                <w:caps/>
                <w:color w:val="000000"/>
                <w:sz w:val="18"/>
                <w:szCs w:val="18"/>
                <w:lang w:eastAsia="en-GB"/>
              </w:rPr>
              <w:t>Platinum Discount</w:t>
            </w:r>
            <w:r w:rsidRPr="00A55986">
              <w:rPr>
                <w:rFonts w:eastAsia="Times New Roman"/>
                <w:b/>
                <w:bCs/>
                <w:color w:val="000000"/>
                <w:sz w:val="18"/>
                <w:szCs w:val="18"/>
                <w:lang w:eastAsia="en-GB"/>
              </w:rPr>
              <w:t>: 20% discount from the ‘Standard Annual Fee’ or ‘Monthly Fee’ or ‘Term Fee’</w:t>
            </w:r>
          </w:p>
          <w:p w14:paraId="69E95BC3" w14:textId="06248157" w:rsidR="00F90779" w:rsidRPr="00A55986" w:rsidRDefault="00F90779" w:rsidP="00F90779">
            <w:pPr>
              <w:spacing w:after="40"/>
              <w:jc w:val="left"/>
              <w:rPr>
                <w:rFonts w:eastAsia="Times New Roman"/>
                <w:bCs/>
                <w:color w:val="000000"/>
                <w:sz w:val="18"/>
                <w:szCs w:val="18"/>
                <w:lang w:val="en-GB" w:eastAsia="en-GB"/>
              </w:rPr>
            </w:pPr>
            <w:r w:rsidRPr="00A55986">
              <w:rPr>
                <w:rFonts w:eastAsia="Times New Roman"/>
                <w:bCs/>
                <w:color w:val="000000"/>
                <w:sz w:val="18"/>
                <w:szCs w:val="18"/>
                <w:lang w:val="en-GB" w:eastAsia="en-GB"/>
              </w:rPr>
              <w:t xml:space="preserve">A 20% ‘Platinum Discount’ is given to all students after completing 3 </w:t>
            </w:r>
            <w:r w:rsidR="004904EB" w:rsidRPr="00A55986">
              <w:rPr>
                <w:rFonts w:eastAsia="Times New Roman"/>
                <w:bCs/>
                <w:color w:val="000000"/>
                <w:sz w:val="18"/>
                <w:szCs w:val="18"/>
                <w:lang w:val="en-US" w:eastAsia="en-GB"/>
              </w:rPr>
              <w:t xml:space="preserve">full </w:t>
            </w:r>
            <w:r w:rsidRPr="00A55986">
              <w:rPr>
                <w:rFonts w:eastAsia="Times New Roman"/>
                <w:bCs/>
                <w:color w:val="000000"/>
                <w:sz w:val="18"/>
                <w:szCs w:val="18"/>
                <w:lang w:val="en-GB" w:eastAsia="en-GB"/>
              </w:rPr>
              <w:t>academic years in BIS and continues until the student completes school at BIS. This discount can be applied to the Standard Annual Fee or to Monthly or Term payments if required. No sibling discounts are available with the Platinum Discount.</w:t>
            </w:r>
          </w:p>
        </w:tc>
      </w:tr>
    </w:tbl>
    <w:p w14:paraId="2FEEC83F" w14:textId="77777777" w:rsidR="00B4636C" w:rsidRPr="00A55986" w:rsidRDefault="00B4636C">
      <w:pPr>
        <w:rPr>
          <w:sz w:val="18"/>
          <w:szCs w:val="18"/>
        </w:rPr>
      </w:pPr>
    </w:p>
    <w:tbl>
      <w:tblPr>
        <w:tblW w:w="10994"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bottom w:w="57" w:type="dxa"/>
        </w:tblCellMar>
        <w:tblLook w:val="04A0" w:firstRow="1" w:lastRow="0" w:firstColumn="1" w:lastColumn="0" w:noHBand="0" w:noVBand="1"/>
      </w:tblPr>
      <w:tblGrid>
        <w:gridCol w:w="10994"/>
      </w:tblGrid>
      <w:tr w:rsidR="00CB510F" w:rsidRPr="00A55986" w14:paraId="357756EC" w14:textId="77777777" w:rsidTr="00A55986">
        <w:tc>
          <w:tcPr>
            <w:tcW w:w="10994" w:type="dxa"/>
            <w:tcBorders>
              <w:top w:val="single" w:sz="12" w:space="0" w:color="auto"/>
              <w:bottom w:val="single" w:sz="12" w:space="0" w:color="auto"/>
            </w:tcBorders>
            <w:shd w:val="clear" w:color="auto" w:fill="FFFFFF" w:themeFill="background1"/>
            <w:vAlign w:val="center"/>
          </w:tcPr>
          <w:p w14:paraId="7684EAB5" w14:textId="77777777" w:rsidR="00BB1071" w:rsidRPr="00A55986" w:rsidRDefault="00BB1071" w:rsidP="00BA5670">
            <w:pPr>
              <w:spacing w:before="40" w:line="240" w:lineRule="atLeast"/>
              <w:jc w:val="left"/>
              <w:rPr>
                <w:rFonts w:eastAsia="Times New Roman"/>
                <w:b/>
                <w:bCs/>
                <w:caps/>
                <w:color w:val="000000"/>
                <w:sz w:val="18"/>
                <w:szCs w:val="18"/>
                <w:lang w:val="en-GB" w:eastAsia="en-GB"/>
              </w:rPr>
            </w:pPr>
            <w:r w:rsidRPr="00A55986">
              <w:rPr>
                <w:rFonts w:eastAsia="Times New Roman"/>
                <w:b/>
                <w:bCs/>
                <w:caps/>
                <w:color w:val="000000"/>
                <w:sz w:val="18"/>
                <w:szCs w:val="18"/>
                <w:lang w:val="en-GB" w:eastAsia="en-GB"/>
              </w:rPr>
              <w:t xml:space="preserve">What is </w:t>
            </w:r>
            <w:r w:rsidRPr="00A55986">
              <w:rPr>
                <w:rFonts w:eastAsia="Times New Roman"/>
                <w:b/>
                <w:bCs/>
                <w:caps/>
                <w:color w:val="000000"/>
                <w:sz w:val="18"/>
                <w:szCs w:val="18"/>
                <w:lang w:eastAsia="en-GB"/>
              </w:rPr>
              <w:t>included</w:t>
            </w:r>
            <w:r w:rsidRPr="00A55986">
              <w:rPr>
                <w:rFonts w:eastAsia="Times New Roman"/>
                <w:b/>
                <w:bCs/>
                <w:caps/>
                <w:color w:val="000000"/>
                <w:sz w:val="18"/>
                <w:szCs w:val="18"/>
                <w:lang w:val="en-GB" w:eastAsia="en-GB"/>
              </w:rPr>
              <w:t xml:space="preserve"> and what ELSE DO YOU HAVE TO PAY?</w:t>
            </w:r>
          </w:p>
          <w:p w14:paraId="642D0914" w14:textId="14FD3FA9" w:rsidR="002260BD" w:rsidRPr="00A55986" w:rsidRDefault="00CB510F" w:rsidP="00913985">
            <w:pPr>
              <w:spacing w:before="40" w:after="40" w:line="240" w:lineRule="atLeast"/>
              <w:jc w:val="left"/>
              <w:rPr>
                <w:sz w:val="18"/>
                <w:szCs w:val="18"/>
              </w:rPr>
            </w:pPr>
            <w:r w:rsidRPr="00A55986">
              <w:rPr>
                <w:b/>
                <w:sz w:val="18"/>
                <w:szCs w:val="18"/>
              </w:rPr>
              <w:t xml:space="preserve">Fees Include: </w:t>
            </w:r>
            <w:r w:rsidR="00973ADA" w:rsidRPr="00A55986">
              <w:rPr>
                <w:sz w:val="18"/>
                <w:szCs w:val="18"/>
              </w:rPr>
              <w:t>education for 180 school days (8:00 to 15:30), morning snack, lunch and afternoon snack, and optional free extracurricular activities from 15:30 to 16:30 (if available) or optional supervision to 16:30 in Preschool and to 17:30 for Primary, Middle and High School.</w:t>
            </w:r>
          </w:p>
          <w:p w14:paraId="2EC230B0" w14:textId="731B9E41" w:rsidR="00CB510F" w:rsidRPr="00A55986" w:rsidRDefault="00CB510F" w:rsidP="00913985">
            <w:pPr>
              <w:spacing w:before="40" w:after="40" w:line="240" w:lineRule="atLeast"/>
              <w:jc w:val="left"/>
              <w:rPr>
                <w:sz w:val="18"/>
                <w:szCs w:val="18"/>
              </w:rPr>
            </w:pPr>
            <w:r w:rsidRPr="00A55986">
              <w:rPr>
                <w:b/>
                <w:sz w:val="18"/>
                <w:szCs w:val="18"/>
              </w:rPr>
              <w:t>Extra payment</w:t>
            </w:r>
            <w:r w:rsidR="002260BD" w:rsidRPr="00A55986">
              <w:rPr>
                <w:b/>
                <w:sz w:val="18"/>
                <w:szCs w:val="18"/>
              </w:rPr>
              <w:t>:</w:t>
            </w:r>
            <w:r w:rsidRPr="00A55986">
              <w:rPr>
                <w:sz w:val="18"/>
                <w:szCs w:val="18"/>
              </w:rPr>
              <w:t xml:space="preserve"> </w:t>
            </w:r>
            <w:r w:rsidR="00973ADA" w:rsidRPr="00A55986">
              <w:rPr>
                <w:sz w:val="18"/>
                <w:szCs w:val="18"/>
              </w:rPr>
              <w:t>is required for the school bus and for optional extracurricular activities with external charges such as skiing, swimming, rock climbing, and for optional medical vaccinations. Parents may opt-out of lunches and provide their own packed lunches instead. If this option is taken, a discount of $300 per annum is applied.</w:t>
            </w:r>
          </w:p>
          <w:p w14:paraId="41F138FA" w14:textId="46B7FB6A" w:rsidR="00F70926" w:rsidRPr="00A55986" w:rsidRDefault="00CB510F" w:rsidP="00913985">
            <w:pPr>
              <w:spacing w:before="40" w:after="40" w:line="240" w:lineRule="atLeast"/>
              <w:jc w:val="left"/>
              <w:rPr>
                <w:sz w:val="18"/>
                <w:szCs w:val="18"/>
              </w:rPr>
            </w:pPr>
            <w:r w:rsidRPr="00A55986">
              <w:rPr>
                <w:b/>
                <w:sz w:val="18"/>
                <w:szCs w:val="18"/>
              </w:rPr>
              <w:t>Initial Enrolment Fee:</w:t>
            </w:r>
            <w:r w:rsidR="00191794" w:rsidRPr="00A55986">
              <w:rPr>
                <w:sz w:val="18"/>
                <w:szCs w:val="18"/>
              </w:rPr>
              <w:t xml:space="preserve"> </w:t>
            </w:r>
            <w:r w:rsidR="00973ADA" w:rsidRPr="00A55986">
              <w:rPr>
                <w:sz w:val="18"/>
                <w:szCs w:val="18"/>
              </w:rPr>
              <w:t>a one-off administration fee of $200 is charged per family at the time of first application.</w:t>
            </w:r>
          </w:p>
          <w:p w14:paraId="396FC8E0" w14:textId="318CAACD" w:rsidR="00642ED6" w:rsidRPr="00A55986" w:rsidRDefault="00892F15" w:rsidP="009167BD">
            <w:pPr>
              <w:spacing w:before="40" w:after="40" w:line="240" w:lineRule="atLeast"/>
              <w:jc w:val="left"/>
              <w:rPr>
                <w:sz w:val="18"/>
                <w:szCs w:val="18"/>
              </w:rPr>
            </w:pPr>
            <w:r w:rsidRPr="00A55986">
              <w:rPr>
                <w:b/>
                <w:sz w:val="18"/>
                <w:szCs w:val="18"/>
              </w:rPr>
              <w:t>Capital Fund Fee</w:t>
            </w:r>
            <w:r w:rsidR="00973F18" w:rsidRPr="00A55986">
              <w:rPr>
                <w:b/>
                <w:sz w:val="18"/>
                <w:szCs w:val="18"/>
              </w:rPr>
              <w:t xml:space="preserve"> (CFF)</w:t>
            </w:r>
            <w:r w:rsidR="00F70926" w:rsidRPr="00A55986">
              <w:rPr>
                <w:b/>
                <w:sz w:val="18"/>
                <w:szCs w:val="18"/>
              </w:rPr>
              <w:t>:</w:t>
            </w:r>
            <w:r w:rsidR="00F70926" w:rsidRPr="00A55986">
              <w:rPr>
                <w:sz w:val="18"/>
                <w:szCs w:val="18"/>
              </w:rPr>
              <w:t xml:space="preserve"> </w:t>
            </w:r>
            <w:r w:rsidR="00973ADA" w:rsidRPr="00A55986">
              <w:rPr>
                <w:sz w:val="18"/>
                <w:szCs w:val="18"/>
              </w:rPr>
              <w:t>is paid as part of the standard annual fee for employees of organisations which cover at least 75% of school fees. The CFF is a fixed amount with no discount. It is used for investment in better school facilities for students now and in future, in order to attract and retain excellent employees in Bishkek.</w:t>
            </w:r>
          </w:p>
          <w:p w14:paraId="2DD3B3F5" w14:textId="66C3C1EF" w:rsidR="0036498C" w:rsidRPr="00A55986" w:rsidRDefault="0036498C" w:rsidP="00913985">
            <w:pPr>
              <w:spacing w:before="40" w:after="40" w:line="240" w:lineRule="atLeast"/>
              <w:jc w:val="left"/>
              <w:rPr>
                <w:sz w:val="18"/>
                <w:szCs w:val="18"/>
              </w:rPr>
            </w:pPr>
            <w:r w:rsidRPr="00A55986">
              <w:rPr>
                <w:b/>
                <w:sz w:val="18"/>
                <w:szCs w:val="18"/>
              </w:rPr>
              <w:t>Place Reservation Deposit:</w:t>
            </w:r>
            <w:r w:rsidRPr="00A55986">
              <w:rPr>
                <w:sz w:val="18"/>
                <w:szCs w:val="18"/>
              </w:rPr>
              <w:t xml:space="preserve"> </w:t>
            </w:r>
            <w:r w:rsidR="00973ADA" w:rsidRPr="00A55986">
              <w:rPr>
                <w:sz w:val="18"/>
                <w:szCs w:val="18"/>
              </w:rPr>
              <w:t>to secure a place in the class, a deposit of $1,000 is required at the time of enrolment. The deposit is non-refundable but is deductible from the first fee payment. This deposit is not required for institutions paying the Standard Annual Fee including Capital Fund Fee.</w:t>
            </w:r>
          </w:p>
          <w:p w14:paraId="2DAB9C7D" w14:textId="0B79192E" w:rsidR="00CB510F" w:rsidRPr="00A55986" w:rsidRDefault="00CB510F" w:rsidP="00913985">
            <w:pPr>
              <w:spacing w:before="40" w:after="40" w:line="240" w:lineRule="atLeast"/>
              <w:jc w:val="left"/>
              <w:rPr>
                <w:sz w:val="18"/>
                <w:szCs w:val="18"/>
              </w:rPr>
            </w:pPr>
            <w:r w:rsidRPr="00A55986">
              <w:rPr>
                <w:b/>
                <w:sz w:val="18"/>
                <w:szCs w:val="18"/>
              </w:rPr>
              <w:t>Textbook Deposit Scheme:</w:t>
            </w:r>
            <w:r w:rsidRPr="00A55986">
              <w:rPr>
                <w:sz w:val="18"/>
                <w:szCs w:val="18"/>
              </w:rPr>
              <w:t xml:space="preserve"> </w:t>
            </w:r>
            <w:r w:rsidR="00191794" w:rsidRPr="00A55986">
              <w:rPr>
                <w:sz w:val="18"/>
                <w:szCs w:val="18"/>
                <w:lang w:val="en-US"/>
              </w:rPr>
              <w:t>a</w:t>
            </w:r>
            <w:r w:rsidRPr="00A55986">
              <w:rPr>
                <w:sz w:val="18"/>
                <w:szCs w:val="18"/>
              </w:rPr>
              <w:t xml:space="preserve"> deposit of </w:t>
            </w:r>
            <w:r w:rsidR="0013697D" w:rsidRPr="00A55986">
              <w:rPr>
                <w:sz w:val="18"/>
                <w:szCs w:val="18"/>
              </w:rPr>
              <w:t>$150-$500</w:t>
            </w:r>
            <w:r w:rsidR="00332202" w:rsidRPr="00A55986">
              <w:rPr>
                <w:sz w:val="18"/>
                <w:szCs w:val="18"/>
              </w:rPr>
              <w:t xml:space="preserve"> depending on school stage. Deposit is </w:t>
            </w:r>
            <w:r w:rsidRPr="00A55986">
              <w:rPr>
                <w:sz w:val="18"/>
                <w:szCs w:val="18"/>
              </w:rPr>
              <w:t xml:space="preserve">refunded when </w:t>
            </w:r>
            <w:r w:rsidR="00332202" w:rsidRPr="00A55986">
              <w:rPr>
                <w:sz w:val="18"/>
                <w:szCs w:val="18"/>
              </w:rPr>
              <w:t xml:space="preserve">leaving the school, provided all </w:t>
            </w:r>
            <w:r w:rsidRPr="00A55986">
              <w:rPr>
                <w:sz w:val="18"/>
                <w:szCs w:val="18"/>
              </w:rPr>
              <w:t xml:space="preserve">books </w:t>
            </w:r>
            <w:r w:rsidR="00727CC0" w:rsidRPr="00A55986">
              <w:rPr>
                <w:sz w:val="18"/>
                <w:szCs w:val="18"/>
              </w:rPr>
              <w:t xml:space="preserve">are </w:t>
            </w:r>
            <w:r w:rsidRPr="00A55986">
              <w:rPr>
                <w:sz w:val="18"/>
                <w:szCs w:val="18"/>
              </w:rPr>
              <w:t>returned</w:t>
            </w:r>
            <w:r w:rsidR="00332202" w:rsidRPr="00A55986">
              <w:rPr>
                <w:sz w:val="18"/>
                <w:szCs w:val="18"/>
              </w:rPr>
              <w:t xml:space="preserve"> in good condition</w:t>
            </w:r>
            <w:r w:rsidRPr="00A55986">
              <w:rPr>
                <w:sz w:val="18"/>
                <w:szCs w:val="18"/>
              </w:rPr>
              <w:t>.</w:t>
            </w:r>
            <w:r w:rsidR="0030262B" w:rsidRPr="00A55986">
              <w:rPr>
                <w:sz w:val="18"/>
                <w:szCs w:val="18"/>
              </w:rPr>
              <w:t xml:space="preserve"> Primary School $150. Middle School $300. High School $500.</w:t>
            </w:r>
          </w:p>
          <w:p w14:paraId="2B9F4320" w14:textId="040A5A4B" w:rsidR="00700C38" w:rsidRPr="00A55986" w:rsidRDefault="0052435C" w:rsidP="00913985">
            <w:pPr>
              <w:spacing w:before="40" w:after="40" w:line="240" w:lineRule="atLeast"/>
              <w:jc w:val="left"/>
              <w:rPr>
                <w:sz w:val="18"/>
                <w:szCs w:val="18"/>
              </w:rPr>
            </w:pPr>
            <w:r w:rsidRPr="00A55986">
              <w:rPr>
                <w:b/>
                <w:sz w:val="18"/>
                <w:szCs w:val="18"/>
              </w:rPr>
              <w:t xml:space="preserve">English as </w:t>
            </w:r>
            <w:r w:rsidR="00B4636C" w:rsidRPr="00A55986">
              <w:rPr>
                <w:b/>
                <w:sz w:val="18"/>
                <w:szCs w:val="18"/>
              </w:rPr>
              <w:t xml:space="preserve">an </w:t>
            </w:r>
            <w:r w:rsidRPr="00A55986">
              <w:rPr>
                <w:b/>
                <w:sz w:val="18"/>
                <w:szCs w:val="18"/>
              </w:rPr>
              <w:t xml:space="preserve">Additional Language </w:t>
            </w:r>
            <w:r w:rsidR="00700C38" w:rsidRPr="00A55986">
              <w:rPr>
                <w:b/>
                <w:sz w:val="18"/>
                <w:szCs w:val="18"/>
              </w:rPr>
              <w:t xml:space="preserve">(EAL) </w:t>
            </w:r>
            <w:r w:rsidRPr="00A55986">
              <w:rPr>
                <w:b/>
                <w:sz w:val="18"/>
                <w:szCs w:val="18"/>
              </w:rPr>
              <w:t>Tuition Fee:</w:t>
            </w:r>
            <w:r w:rsidR="00700C38" w:rsidRPr="00A55986">
              <w:rPr>
                <w:sz w:val="18"/>
                <w:szCs w:val="18"/>
              </w:rPr>
              <w:t xml:space="preserve"> </w:t>
            </w:r>
            <w:r w:rsidR="00973ADA" w:rsidRPr="00A55986">
              <w:rPr>
                <w:sz w:val="18"/>
                <w:szCs w:val="18"/>
              </w:rPr>
              <w:t>$2,000 per year, if applicable, from Primary 5 and up. Does not apply to students enrolled before 2018.</w:t>
            </w:r>
          </w:p>
          <w:p w14:paraId="17DEE2B1" w14:textId="24539E99" w:rsidR="008249FD" w:rsidRPr="00A55986" w:rsidRDefault="008249FD" w:rsidP="00913985">
            <w:pPr>
              <w:spacing w:before="40" w:after="40" w:line="240" w:lineRule="atLeast"/>
              <w:jc w:val="left"/>
              <w:rPr>
                <w:sz w:val="18"/>
                <w:szCs w:val="18"/>
              </w:rPr>
            </w:pPr>
            <w:r w:rsidRPr="00A55986">
              <w:rPr>
                <w:b/>
                <w:sz w:val="18"/>
                <w:szCs w:val="18"/>
              </w:rPr>
              <w:t>Inclusive Education Support Fee:</w:t>
            </w:r>
            <w:r w:rsidRPr="00A55986">
              <w:rPr>
                <w:sz w:val="18"/>
                <w:szCs w:val="18"/>
              </w:rPr>
              <w:t xml:space="preserve"> </w:t>
            </w:r>
            <w:r w:rsidR="00973ADA" w:rsidRPr="00A55986">
              <w:rPr>
                <w:sz w:val="18"/>
                <w:szCs w:val="18"/>
              </w:rPr>
              <w:t>possibly required for students with an Individualized Education Plan at level 3 or above, in accordance with the BIS Inclusive Education Policy.</w:t>
            </w:r>
          </w:p>
          <w:p w14:paraId="5CAB5F64" w14:textId="3CB20C39" w:rsidR="00CB510F" w:rsidRPr="00A55986" w:rsidRDefault="00CB510F" w:rsidP="00973ADA">
            <w:pPr>
              <w:spacing w:before="40" w:after="40" w:line="240" w:lineRule="atLeast"/>
              <w:jc w:val="left"/>
              <w:rPr>
                <w:sz w:val="18"/>
                <w:szCs w:val="18"/>
                <w:lang w:val="en-US"/>
              </w:rPr>
            </w:pPr>
            <w:r w:rsidRPr="00A55986">
              <w:rPr>
                <w:b/>
                <w:sz w:val="18"/>
                <w:szCs w:val="18"/>
              </w:rPr>
              <w:t>Late Payment Charges:</w:t>
            </w:r>
            <w:r w:rsidR="00191794" w:rsidRPr="00A55986">
              <w:rPr>
                <w:sz w:val="18"/>
                <w:szCs w:val="18"/>
              </w:rPr>
              <w:t xml:space="preserve"> </w:t>
            </w:r>
            <w:r w:rsidR="00973ADA" w:rsidRPr="00A55986">
              <w:rPr>
                <w:sz w:val="18"/>
                <w:szCs w:val="18"/>
              </w:rPr>
              <w:t xml:space="preserve">fees quoted are for payment before the dates specified. Any single late payment is subject to a standard late payment charge of $300, increasing by $300/month for any delay beyond 30 days. Late payment charges for the first payment due on </w:t>
            </w:r>
            <w:r w:rsidR="00973ADA" w:rsidRPr="00A55986">
              <w:rPr>
                <w:sz w:val="18"/>
                <w:szCs w:val="18"/>
              </w:rPr>
              <w:lastRenderedPageBreak/>
              <w:t>30 June are only applied after 24th August, however places in the school are not guaranteed until at least 10% of the annual payment is made (except for institutions pay</w:t>
            </w:r>
            <w:bookmarkStart w:id="0" w:name="_GoBack"/>
            <w:bookmarkEnd w:id="0"/>
            <w:r w:rsidR="00973ADA" w:rsidRPr="00A55986">
              <w:rPr>
                <w:sz w:val="18"/>
                <w:szCs w:val="18"/>
              </w:rPr>
              <w:t>ing the CFF).</w:t>
            </w:r>
          </w:p>
        </w:tc>
      </w:tr>
    </w:tbl>
    <w:p w14:paraId="3E4E5C2C" w14:textId="77777777" w:rsidR="00887525" w:rsidRPr="00A55986" w:rsidRDefault="00887525" w:rsidP="00913985">
      <w:pPr>
        <w:ind w:right="-567"/>
        <w:jc w:val="left"/>
        <w:rPr>
          <w:sz w:val="18"/>
          <w:szCs w:val="18"/>
        </w:rPr>
      </w:pPr>
    </w:p>
    <w:sectPr w:rsidR="00887525" w:rsidRPr="00A55986" w:rsidSect="00A55986">
      <w:footerReference w:type="default" r:id="rId8"/>
      <w:footerReference w:type="first" r:id="rId9"/>
      <w:pgSz w:w="11906" w:h="16838" w:code="9"/>
      <w:pgMar w:top="720" w:right="720" w:bottom="720" w:left="720" w:header="227"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2A63C" w14:textId="77777777" w:rsidR="00412554" w:rsidRDefault="00412554" w:rsidP="00F13710">
      <w:r>
        <w:separator/>
      </w:r>
    </w:p>
  </w:endnote>
  <w:endnote w:type="continuationSeparator" w:id="0">
    <w:p w14:paraId="4EF4C054" w14:textId="77777777" w:rsidR="00412554" w:rsidRDefault="00412554" w:rsidP="00F1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E404A" w14:textId="2DF5EE4D" w:rsidR="00987AED" w:rsidRPr="00EC60E9" w:rsidRDefault="00987AED" w:rsidP="00A55986">
    <w:pPr>
      <w:pStyle w:val="Header"/>
      <w:ind w:right="-567"/>
      <w:rPr>
        <w:color w:val="1F497D" w:themeColor="text2"/>
        <w:sz w:val="18"/>
        <w:szCs w:val="18"/>
        <w:lang w:val="en-US"/>
      </w:rPr>
    </w:pPr>
    <w:r w:rsidRPr="001E09CA">
      <w:rPr>
        <w:color w:val="1F497D" w:themeColor="text2"/>
        <w:sz w:val="18"/>
        <w:szCs w:val="18"/>
        <w:lang w:val="en-US"/>
      </w:rPr>
      <w:t xml:space="preserve">Updated </w:t>
    </w:r>
    <w:r w:rsidR="00A76379">
      <w:rPr>
        <w:color w:val="1F497D" w:themeColor="text2"/>
        <w:sz w:val="18"/>
        <w:szCs w:val="18"/>
        <w:lang w:val="en-US"/>
      </w:rPr>
      <w:t>January</w:t>
    </w:r>
    <w:r>
      <w:rPr>
        <w:color w:val="1F497D" w:themeColor="text2"/>
        <w:sz w:val="18"/>
        <w:szCs w:val="18"/>
        <w:lang w:val="en-US"/>
      </w:rPr>
      <w:t xml:space="preserve"> 20</w:t>
    </w:r>
    <w:r w:rsidR="00A55986">
      <w:rPr>
        <w:color w:val="1F497D" w:themeColor="text2"/>
        <w:sz w:val="18"/>
        <w:szCs w:val="18"/>
        <w:lang w:val="en-US"/>
      </w:rPr>
      <w:t>20</w:t>
    </w:r>
    <w:r w:rsidRPr="001E09CA">
      <w:rPr>
        <w:color w:val="1F497D" w:themeColor="text2"/>
        <w:sz w:val="18"/>
        <w:szCs w:val="18"/>
        <w:lang w:val="en-US"/>
      </w:rPr>
      <w:t xml:space="preserve">. Note that these rates are subject to </w:t>
    </w:r>
    <w:r>
      <w:rPr>
        <w:color w:val="1F497D" w:themeColor="text2"/>
        <w:sz w:val="18"/>
        <w:szCs w:val="18"/>
        <w:lang w:val="en-US"/>
      </w:rPr>
      <w:t xml:space="preserve">possible </w:t>
    </w:r>
    <w:r w:rsidRPr="001E09CA">
      <w:rPr>
        <w:color w:val="1F497D" w:themeColor="text2"/>
        <w:sz w:val="18"/>
        <w:szCs w:val="18"/>
        <w:lang w:val="en-US"/>
      </w:rPr>
      <w:t>amendment during the year for any payments not yet made</w:t>
    </w:r>
    <w:r>
      <w:rPr>
        <w:color w:val="1F497D" w:themeColor="text2"/>
        <w:sz w:val="18"/>
        <w:szCs w:val="18"/>
        <w:lang w:val="en-US"/>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11C0B" w14:textId="77777777" w:rsidR="00987AED" w:rsidRDefault="00987AED" w:rsidP="00024134">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EC56D" w14:textId="77777777" w:rsidR="00412554" w:rsidRDefault="00412554" w:rsidP="00F13710">
      <w:r>
        <w:separator/>
      </w:r>
    </w:p>
  </w:footnote>
  <w:footnote w:type="continuationSeparator" w:id="0">
    <w:p w14:paraId="2D37BDCC" w14:textId="77777777" w:rsidR="00412554" w:rsidRDefault="00412554" w:rsidP="00F137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24F3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501E3"/>
    <w:multiLevelType w:val="hybridMultilevel"/>
    <w:tmpl w:val="01E85C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F097E77"/>
    <w:multiLevelType w:val="hybridMultilevel"/>
    <w:tmpl w:val="98D00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C453E"/>
    <w:multiLevelType w:val="hybridMultilevel"/>
    <w:tmpl w:val="B4BAE85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D1A245E"/>
    <w:multiLevelType w:val="hybridMultilevel"/>
    <w:tmpl w:val="4D844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92F72"/>
    <w:multiLevelType w:val="hybridMultilevel"/>
    <w:tmpl w:val="7786D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130B8E"/>
    <w:multiLevelType w:val="hybridMultilevel"/>
    <w:tmpl w:val="98D00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3674B"/>
    <w:multiLevelType w:val="hybridMultilevel"/>
    <w:tmpl w:val="2D36E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ED7FF0"/>
    <w:multiLevelType w:val="hybridMultilevel"/>
    <w:tmpl w:val="8E9A4A9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908404F"/>
    <w:multiLevelType w:val="hybridMultilevel"/>
    <w:tmpl w:val="A4F6D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BE4E30"/>
    <w:multiLevelType w:val="hybridMultilevel"/>
    <w:tmpl w:val="4CC8F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352FC0"/>
    <w:multiLevelType w:val="hybridMultilevel"/>
    <w:tmpl w:val="5DCCE8E4"/>
    <w:lvl w:ilvl="0" w:tplc="231E9930">
      <w:start w:val="10"/>
      <w:numFmt w:val="bullet"/>
      <w:lvlText w:val=""/>
      <w:lvlJc w:val="left"/>
      <w:pPr>
        <w:ind w:left="720" w:hanging="360"/>
      </w:pPr>
      <w:rPr>
        <w:rFonts w:ascii="Symbol" w:eastAsia="Calibri" w:hAnsi="Symbo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B4A34DD"/>
    <w:multiLevelType w:val="hybridMultilevel"/>
    <w:tmpl w:val="98D00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531E08"/>
    <w:multiLevelType w:val="hybridMultilevel"/>
    <w:tmpl w:val="EEBEA8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0D35121"/>
    <w:multiLevelType w:val="hybridMultilevel"/>
    <w:tmpl w:val="2608519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7B26FF4"/>
    <w:multiLevelType w:val="hybridMultilevel"/>
    <w:tmpl w:val="728E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1D1E3B"/>
    <w:multiLevelType w:val="hybridMultilevel"/>
    <w:tmpl w:val="2C44AD8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21300DD"/>
    <w:multiLevelType w:val="hybridMultilevel"/>
    <w:tmpl w:val="4D844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4771D8"/>
    <w:multiLevelType w:val="hybridMultilevel"/>
    <w:tmpl w:val="2D36E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8E7329"/>
    <w:multiLevelType w:val="hybridMultilevel"/>
    <w:tmpl w:val="2576A4C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3"/>
  </w:num>
  <w:num w:numId="5">
    <w:abstractNumId w:val="19"/>
  </w:num>
  <w:num w:numId="6">
    <w:abstractNumId w:val="16"/>
  </w:num>
  <w:num w:numId="7">
    <w:abstractNumId w:val="14"/>
  </w:num>
  <w:num w:numId="8">
    <w:abstractNumId w:val="17"/>
  </w:num>
  <w:num w:numId="9">
    <w:abstractNumId w:val="4"/>
  </w:num>
  <w:num w:numId="10">
    <w:abstractNumId w:val="0"/>
  </w:num>
  <w:num w:numId="11">
    <w:abstractNumId w:val="15"/>
  </w:num>
  <w:num w:numId="12">
    <w:abstractNumId w:val="1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2"/>
  </w:num>
  <w:num w:numId="17">
    <w:abstractNumId w:val="9"/>
  </w:num>
  <w:num w:numId="18">
    <w:abstractNumId w:val="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92"/>
    <w:rsid w:val="000046B2"/>
    <w:rsid w:val="00013B8D"/>
    <w:rsid w:val="0002253A"/>
    <w:rsid w:val="00024134"/>
    <w:rsid w:val="000271C6"/>
    <w:rsid w:val="00031D54"/>
    <w:rsid w:val="000328C6"/>
    <w:rsid w:val="000419A6"/>
    <w:rsid w:val="00065A83"/>
    <w:rsid w:val="00066069"/>
    <w:rsid w:val="000700B4"/>
    <w:rsid w:val="00070657"/>
    <w:rsid w:val="000718F0"/>
    <w:rsid w:val="00072C6D"/>
    <w:rsid w:val="00074E03"/>
    <w:rsid w:val="000776F5"/>
    <w:rsid w:val="00080A71"/>
    <w:rsid w:val="00087483"/>
    <w:rsid w:val="000908C1"/>
    <w:rsid w:val="00092067"/>
    <w:rsid w:val="00097B0D"/>
    <w:rsid w:val="000A31E5"/>
    <w:rsid w:val="000B5D1D"/>
    <w:rsid w:val="000C4B0B"/>
    <w:rsid w:val="000C6766"/>
    <w:rsid w:val="000F2E53"/>
    <w:rsid w:val="000F6C06"/>
    <w:rsid w:val="000F7518"/>
    <w:rsid w:val="00100859"/>
    <w:rsid w:val="0010487C"/>
    <w:rsid w:val="0010673B"/>
    <w:rsid w:val="00106888"/>
    <w:rsid w:val="001155EB"/>
    <w:rsid w:val="0012431D"/>
    <w:rsid w:val="00124613"/>
    <w:rsid w:val="00127AA5"/>
    <w:rsid w:val="00132BF6"/>
    <w:rsid w:val="00135465"/>
    <w:rsid w:val="0013697D"/>
    <w:rsid w:val="00147AA2"/>
    <w:rsid w:val="001561FE"/>
    <w:rsid w:val="0015639E"/>
    <w:rsid w:val="001600DF"/>
    <w:rsid w:val="00161550"/>
    <w:rsid w:val="001675F5"/>
    <w:rsid w:val="00173A40"/>
    <w:rsid w:val="00182E80"/>
    <w:rsid w:val="00191794"/>
    <w:rsid w:val="00193744"/>
    <w:rsid w:val="00196945"/>
    <w:rsid w:val="001A6644"/>
    <w:rsid w:val="001B0462"/>
    <w:rsid w:val="001B1949"/>
    <w:rsid w:val="001B5BC6"/>
    <w:rsid w:val="001C0AC8"/>
    <w:rsid w:val="001C1B25"/>
    <w:rsid w:val="001E2BB2"/>
    <w:rsid w:val="001F6481"/>
    <w:rsid w:val="00211CA2"/>
    <w:rsid w:val="0021516F"/>
    <w:rsid w:val="002227ED"/>
    <w:rsid w:val="00222AD6"/>
    <w:rsid w:val="002260BD"/>
    <w:rsid w:val="00232ADB"/>
    <w:rsid w:val="00242257"/>
    <w:rsid w:val="00242351"/>
    <w:rsid w:val="00250C38"/>
    <w:rsid w:val="00254415"/>
    <w:rsid w:val="002557E0"/>
    <w:rsid w:val="00255A96"/>
    <w:rsid w:val="00272119"/>
    <w:rsid w:val="002807E7"/>
    <w:rsid w:val="002B06C6"/>
    <w:rsid w:val="002C2786"/>
    <w:rsid w:val="002C5584"/>
    <w:rsid w:val="002C5FC3"/>
    <w:rsid w:val="002D0DBD"/>
    <w:rsid w:val="002D43F0"/>
    <w:rsid w:val="002E1729"/>
    <w:rsid w:val="002F2A72"/>
    <w:rsid w:val="002F6297"/>
    <w:rsid w:val="002F66EE"/>
    <w:rsid w:val="002F74D5"/>
    <w:rsid w:val="002F76C1"/>
    <w:rsid w:val="0030262B"/>
    <w:rsid w:val="00330333"/>
    <w:rsid w:val="003308E4"/>
    <w:rsid w:val="00331B4C"/>
    <w:rsid w:val="00331DF4"/>
    <w:rsid w:val="00332202"/>
    <w:rsid w:val="003366EE"/>
    <w:rsid w:val="00336C20"/>
    <w:rsid w:val="0036498C"/>
    <w:rsid w:val="00376FE5"/>
    <w:rsid w:val="00382E66"/>
    <w:rsid w:val="00384E08"/>
    <w:rsid w:val="00387A33"/>
    <w:rsid w:val="0039032C"/>
    <w:rsid w:val="00393C7A"/>
    <w:rsid w:val="003A1F44"/>
    <w:rsid w:val="003A32AC"/>
    <w:rsid w:val="003A4E7C"/>
    <w:rsid w:val="003B08B5"/>
    <w:rsid w:val="003B34F8"/>
    <w:rsid w:val="003C7076"/>
    <w:rsid w:val="003D36B8"/>
    <w:rsid w:val="003D7E1B"/>
    <w:rsid w:val="003E2725"/>
    <w:rsid w:val="003E439E"/>
    <w:rsid w:val="003E5799"/>
    <w:rsid w:val="003F0111"/>
    <w:rsid w:val="003F584B"/>
    <w:rsid w:val="003F614F"/>
    <w:rsid w:val="004021AE"/>
    <w:rsid w:val="00405FB0"/>
    <w:rsid w:val="00412077"/>
    <w:rsid w:val="00412554"/>
    <w:rsid w:val="00412F52"/>
    <w:rsid w:val="004223FC"/>
    <w:rsid w:val="00422780"/>
    <w:rsid w:val="00423D9E"/>
    <w:rsid w:val="0044614A"/>
    <w:rsid w:val="00451C79"/>
    <w:rsid w:val="00452264"/>
    <w:rsid w:val="004556ED"/>
    <w:rsid w:val="00471E84"/>
    <w:rsid w:val="00473036"/>
    <w:rsid w:val="004756BC"/>
    <w:rsid w:val="00482159"/>
    <w:rsid w:val="00483573"/>
    <w:rsid w:val="004904EB"/>
    <w:rsid w:val="0049781D"/>
    <w:rsid w:val="004B0757"/>
    <w:rsid w:val="004C50D9"/>
    <w:rsid w:val="004C6DD2"/>
    <w:rsid w:val="004D0DCB"/>
    <w:rsid w:val="004D1CCE"/>
    <w:rsid w:val="004D1EBF"/>
    <w:rsid w:val="004E1BFD"/>
    <w:rsid w:val="004E6D46"/>
    <w:rsid w:val="004F66F9"/>
    <w:rsid w:val="004F7900"/>
    <w:rsid w:val="00501123"/>
    <w:rsid w:val="00502321"/>
    <w:rsid w:val="00502EA3"/>
    <w:rsid w:val="005108F0"/>
    <w:rsid w:val="0051401E"/>
    <w:rsid w:val="00523B1A"/>
    <w:rsid w:val="0052435C"/>
    <w:rsid w:val="00531B19"/>
    <w:rsid w:val="005440E7"/>
    <w:rsid w:val="00544D22"/>
    <w:rsid w:val="00557D93"/>
    <w:rsid w:val="005601B6"/>
    <w:rsid w:val="00562558"/>
    <w:rsid w:val="00564AC5"/>
    <w:rsid w:val="005743B1"/>
    <w:rsid w:val="005A30E1"/>
    <w:rsid w:val="005B2EDB"/>
    <w:rsid w:val="005B4AD9"/>
    <w:rsid w:val="005C456A"/>
    <w:rsid w:val="005D11FA"/>
    <w:rsid w:val="005E0E4C"/>
    <w:rsid w:val="005E5690"/>
    <w:rsid w:val="005E612A"/>
    <w:rsid w:val="005E683E"/>
    <w:rsid w:val="005E6C1C"/>
    <w:rsid w:val="005F6248"/>
    <w:rsid w:val="006128BD"/>
    <w:rsid w:val="0061414D"/>
    <w:rsid w:val="00621ADA"/>
    <w:rsid w:val="00634E3C"/>
    <w:rsid w:val="006353E6"/>
    <w:rsid w:val="00641EAD"/>
    <w:rsid w:val="00642ED6"/>
    <w:rsid w:val="0064491B"/>
    <w:rsid w:val="00654CEC"/>
    <w:rsid w:val="00661BE9"/>
    <w:rsid w:val="0066540A"/>
    <w:rsid w:val="006667BF"/>
    <w:rsid w:val="00670913"/>
    <w:rsid w:val="006808DD"/>
    <w:rsid w:val="00683347"/>
    <w:rsid w:val="00696479"/>
    <w:rsid w:val="006A53DA"/>
    <w:rsid w:val="006A5E17"/>
    <w:rsid w:val="006B1076"/>
    <w:rsid w:val="006B50F9"/>
    <w:rsid w:val="006C500E"/>
    <w:rsid w:val="006C527B"/>
    <w:rsid w:val="006D6B44"/>
    <w:rsid w:val="006E0F4F"/>
    <w:rsid w:val="006E1B2B"/>
    <w:rsid w:val="006E30D1"/>
    <w:rsid w:val="006E650F"/>
    <w:rsid w:val="006F21C2"/>
    <w:rsid w:val="00700C38"/>
    <w:rsid w:val="0070195C"/>
    <w:rsid w:val="0070688E"/>
    <w:rsid w:val="00710C01"/>
    <w:rsid w:val="00714621"/>
    <w:rsid w:val="0071561E"/>
    <w:rsid w:val="00724809"/>
    <w:rsid w:val="00724CA7"/>
    <w:rsid w:val="00727CC0"/>
    <w:rsid w:val="007317F8"/>
    <w:rsid w:val="00733852"/>
    <w:rsid w:val="00735381"/>
    <w:rsid w:val="00745FA7"/>
    <w:rsid w:val="007540C3"/>
    <w:rsid w:val="007546C5"/>
    <w:rsid w:val="00763452"/>
    <w:rsid w:val="00767357"/>
    <w:rsid w:val="00777372"/>
    <w:rsid w:val="00780DAD"/>
    <w:rsid w:val="00784511"/>
    <w:rsid w:val="00794CCF"/>
    <w:rsid w:val="00796418"/>
    <w:rsid w:val="00797D6C"/>
    <w:rsid w:val="007A35D5"/>
    <w:rsid w:val="007A412F"/>
    <w:rsid w:val="007B00D0"/>
    <w:rsid w:val="007E2984"/>
    <w:rsid w:val="007E32CE"/>
    <w:rsid w:val="007E7746"/>
    <w:rsid w:val="007F0714"/>
    <w:rsid w:val="00806392"/>
    <w:rsid w:val="00807377"/>
    <w:rsid w:val="00817BFE"/>
    <w:rsid w:val="008249FD"/>
    <w:rsid w:val="0083113E"/>
    <w:rsid w:val="008423CB"/>
    <w:rsid w:val="00850F1D"/>
    <w:rsid w:val="00853792"/>
    <w:rsid w:val="008554B9"/>
    <w:rsid w:val="00855C06"/>
    <w:rsid w:val="008608B9"/>
    <w:rsid w:val="0087226B"/>
    <w:rsid w:val="00873ED8"/>
    <w:rsid w:val="00876F75"/>
    <w:rsid w:val="008825EA"/>
    <w:rsid w:val="00887525"/>
    <w:rsid w:val="00892F15"/>
    <w:rsid w:val="0089742F"/>
    <w:rsid w:val="008A3C4D"/>
    <w:rsid w:val="008A56C8"/>
    <w:rsid w:val="008A5C8E"/>
    <w:rsid w:val="008B16B8"/>
    <w:rsid w:val="008B2968"/>
    <w:rsid w:val="008B4A77"/>
    <w:rsid w:val="008B4F18"/>
    <w:rsid w:val="008C764B"/>
    <w:rsid w:val="008D3844"/>
    <w:rsid w:val="008D5157"/>
    <w:rsid w:val="008D6381"/>
    <w:rsid w:val="008E4E2C"/>
    <w:rsid w:val="008F2BC1"/>
    <w:rsid w:val="009062AD"/>
    <w:rsid w:val="00906C77"/>
    <w:rsid w:val="009117E5"/>
    <w:rsid w:val="00913985"/>
    <w:rsid w:val="009153EA"/>
    <w:rsid w:val="009167BD"/>
    <w:rsid w:val="009212FD"/>
    <w:rsid w:val="00926168"/>
    <w:rsid w:val="00936FBD"/>
    <w:rsid w:val="00937EEB"/>
    <w:rsid w:val="00941AB3"/>
    <w:rsid w:val="00950336"/>
    <w:rsid w:val="00950F43"/>
    <w:rsid w:val="009526EA"/>
    <w:rsid w:val="00956127"/>
    <w:rsid w:val="009567E4"/>
    <w:rsid w:val="00956F3E"/>
    <w:rsid w:val="0097178E"/>
    <w:rsid w:val="00973ADA"/>
    <w:rsid w:val="00973B77"/>
    <w:rsid w:val="00973F18"/>
    <w:rsid w:val="00974792"/>
    <w:rsid w:val="00981562"/>
    <w:rsid w:val="00986928"/>
    <w:rsid w:val="0098706E"/>
    <w:rsid w:val="00987AED"/>
    <w:rsid w:val="0099327A"/>
    <w:rsid w:val="009948BB"/>
    <w:rsid w:val="009B33A2"/>
    <w:rsid w:val="009B7B26"/>
    <w:rsid w:val="009C0936"/>
    <w:rsid w:val="009C1F0A"/>
    <w:rsid w:val="009E2145"/>
    <w:rsid w:val="009F0459"/>
    <w:rsid w:val="009F049C"/>
    <w:rsid w:val="009F51D0"/>
    <w:rsid w:val="009F6D4D"/>
    <w:rsid w:val="00A01579"/>
    <w:rsid w:val="00A02EA2"/>
    <w:rsid w:val="00A1240E"/>
    <w:rsid w:val="00A15262"/>
    <w:rsid w:val="00A2236E"/>
    <w:rsid w:val="00A22C24"/>
    <w:rsid w:val="00A32741"/>
    <w:rsid w:val="00A3582E"/>
    <w:rsid w:val="00A4405F"/>
    <w:rsid w:val="00A4662C"/>
    <w:rsid w:val="00A55986"/>
    <w:rsid w:val="00A62447"/>
    <w:rsid w:val="00A64CA0"/>
    <w:rsid w:val="00A76379"/>
    <w:rsid w:val="00A77EF5"/>
    <w:rsid w:val="00A914DF"/>
    <w:rsid w:val="00A94EAA"/>
    <w:rsid w:val="00A97DA6"/>
    <w:rsid w:val="00AB181E"/>
    <w:rsid w:val="00AB2535"/>
    <w:rsid w:val="00AB43D8"/>
    <w:rsid w:val="00AB5A3C"/>
    <w:rsid w:val="00AC035F"/>
    <w:rsid w:val="00AD2FB8"/>
    <w:rsid w:val="00AD7865"/>
    <w:rsid w:val="00AD7DA3"/>
    <w:rsid w:val="00AF021B"/>
    <w:rsid w:val="00AF0306"/>
    <w:rsid w:val="00AF1804"/>
    <w:rsid w:val="00B02F88"/>
    <w:rsid w:val="00B15F48"/>
    <w:rsid w:val="00B215F5"/>
    <w:rsid w:val="00B2318B"/>
    <w:rsid w:val="00B237F3"/>
    <w:rsid w:val="00B45D31"/>
    <w:rsid w:val="00B4636C"/>
    <w:rsid w:val="00B530A6"/>
    <w:rsid w:val="00B5393B"/>
    <w:rsid w:val="00B547DC"/>
    <w:rsid w:val="00B62427"/>
    <w:rsid w:val="00B83B04"/>
    <w:rsid w:val="00B84CD9"/>
    <w:rsid w:val="00B8516E"/>
    <w:rsid w:val="00B86D1E"/>
    <w:rsid w:val="00B93470"/>
    <w:rsid w:val="00B941DD"/>
    <w:rsid w:val="00BA351D"/>
    <w:rsid w:val="00BA5670"/>
    <w:rsid w:val="00BA62AC"/>
    <w:rsid w:val="00BB1071"/>
    <w:rsid w:val="00BB2315"/>
    <w:rsid w:val="00BB500F"/>
    <w:rsid w:val="00BC7665"/>
    <w:rsid w:val="00BD7AF2"/>
    <w:rsid w:val="00BF446C"/>
    <w:rsid w:val="00C01014"/>
    <w:rsid w:val="00C059B5"/>
    <w:rsid w:val="00C22EC1"/>
    <w:rsid w:val="00C24E1D"/>
    <w:rsid w:val="00C34D36"/>
    <w:rsid w:val="00C41954"/>
    <w:rsid w:val="00C572D2"/>
    <w:rsid w:val="00C60226"/>
    <w:rsid w:val="00C6666E"/>
    <w:rsid w:val="00C7011D"/>
    <w:rsid w:val="00C82889"/>
    <w:rsid w:val="00C86E69"/>
    <w:rsid w:val="00C915A4"/>
    <w:rsid w:val="00CA4A17"/>
    <w:rsid w:val="00CA5653"/>
    <w:rsid w:val="00CA572C"/>
    <w:rsid w:val="00CB2750"/>
    <w:rsid w:val="00CB47F9"/>
    <w:rsid w:val="00CB510F"/>
    <w:rsid w:val="00CB73A9"/>
    <w:rsid w:val="00CC3438"/>
    <w:rsid w:val="00CC76B8"/>
    <w:rsid w:val="00CF7A49"/>
    <w:rsid w:val="00D14D72"/>
    <w:rsid w:val="00D20987"/>
    <w:rsid w:val="00D22983"/>
    <w:rsid w:val="00D239CA"/>
    <w:rsid w:val="00D27D3B"/>
    <w:rsid w:val="00D41E3F"/>
    <w:rsid w:val="00D57F37"/>
    <w:rsid w:val="00D64795"/>
    <w:rsid w:val="00D678A0"/>
    <w:rsid w:val="00D720E9"/>
    <w:rsid w:val="00D72ECA"/>
    <w:rsid w:val="00D777BE"/>
    <w:rsid w:val="00D8485A"/>
    <w:rsid w:val="00D87D69"/>
    <w:rsid w:val="00D9475B"/>
    <w:rsid w:val="00DB62C7"/>
    <w:rsid w:val="00DC03BE"/>
    <w:rsid w:val="00DC1F3F"/>
    <w:rsid w:val="00DC3F07"/>
    <w:rsid w:val="00DC5D9D"/>
    <w:rsid w:val="00DC5EB4"/>
    <w:rsid w:val="00DD5596"/>
    <w:rsid w:val="00DD7C51"/>
    <w:rsid w:val="00DE769D"/>
    <w:rsid w:val="00DF786E"/>
    <w:rsid w:val="00DF7EEB"/>
    <w:rsid w:val="00E02497"/>
    <w:rsid w:val="00E10E08"/>
    <w:rsid w:val="00E15716"/>
    <w:rsid w:val="00E17085"/>
    <w:rsid w:val="00E32F49"/>
    <w:rsid w:val="00E35E90"/>
    <w:rsid w:val="00E36467"/>
    <w:rsid w:val="00E530A2"/>
    <w:rsid w:val="00E56973"/>
    <w:rsid w:val="00E57842"/>
    <w:rsid w:val="00E6547E"/>
    <w:rsid w:val="00E7126C"/>
    <w:rsid w:val="00E7345E"/>
    <w:rsid w:val="00E8162B"/>
    <w:rsid w:val="00E846A9"/>
    <w:rsid w:val="00E957CA"/>
    <w:rsid w:val="00EA755E"/>
    <w:rsid w:val="00EC60E9"/>
    <w:rsid w:val="00ED103A"/>
    <w:rsid w:val="00ED3278"/>
    <w:rsid w:val="00ED45A5"/>
    <w:rsid w:val="00ED4FC4"/>
    <w:rsid w:val="00ED5CBA"/>
    <w:rsid w:val="00EF07BD"/>
    <w:rsid w:val="00EF4AA7"/>
    <w:rsid w:val="00F00C9A"/>
    <w:rsid w:val="00F0452E"/>
    <w:rsid w:val="00F07648"/>
    <w:rsid w:val="00F07877"/>
    <w:rsid w:val="00F13710"/>
    <w:rsid w:val="00F211E0"/>
    <w:rsid w:val="00F232CD"/>
    <w:rsid w:val="00F23A4A"/>
    <w:rsid w:val="00F35556"/>
    <w:rsid w:val="00F413F1"/>
    <w:rsid w:val="00F46D31"/>
    <w:rsid w:val="00F51587"/>
    <w:rsid w:val="00F55B88"/>
    <w:rsid w:val="00F64685"/>
    <w:rsid w:val="00F64C9C"/>
    <w:rsid w:val="00F70926"/>
    <w:rsid w:val="00F83499"/>
    <w:rsid w:val="00F90779"/>
    <w:rsid w:val="00F978AB"/>
    <w:rsid w:val="00FA59D1"/>
    <w:rsid w:val="00FA6B01"/>
    <w:rsid w:val="00FB1D19"/>
    <w:rsid w:val="00FB5340"/>
    <w:rsid w:val="00FB53E3"/>
    <w:rsid w:val="00FB6486"/>
    <w:rsid w:val="00FC08A8"/>
    <w:rsid w:val="00FE6D38"/>
    <w:rsid w:val="00FF3376"/>
    <w:rsid w:val="00FF6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79245"/>
  <w15:docId w15:val="{E8E39871-AF0C-43A8-8726-83902A56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757"/>
    <w:pPr>
      <w:jc w:val="both"/>
    </w:pPr>
    <w:rPr>
      <w:sz w:val="24"/>
      <w:szCs w:val="22"/>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16F"/>
    <w:pPr>
      <w:ind w:left="720"/>
      <w:contextualSpacing/>
    </w:pPr>
  </w:style>
  <w:style w:type="paragraph" w:styleId="BalloonText">
    <w:name w:val="Balloon Text"/>
    <w:basedOn w:val="Normal"/>
    <w:link w:val="BalloonTextChar"/>
    <w:uiPriority w:val="99"/>
    <w:semiHidden/>
    <w:unhideWhenUsed/>
    <w:rsid w:val="007A35D5"/>
    <w:rPr>
      <w:rFonts w:ascii="Tahoma" w:hAnsi="Tahoma" w:cs="Tahoma"/>
      <w:sz w:val="16"/>
      <w:szCs w:val="16"/>
    </w:rPr>
  </w:style>
  <w:style w:type="character" w:customStyle="1" w:styleId="BalloonTextChar">
    <w:name w:val="Balloon Text Char"/>
    <w:link w:val="BalloonText"/>
    <w:uiPriority w:val="99"/>
    <w:semiHidden/>
    <w:rsid w:val="007A35D5"/>
    <w:rPr>
      <w:rFonts w:ascii="Tahoma" w:hAnsi="Tahoma" w:cs="Tahoma"/>
      <w:sz w:val="16"/>
      <w:szCs w:val="16"/>
      <w:lang w:val="en-ZA" w:eastAsia="en-US"/>
    </w:rPr>
  </w:style>
  <w:style w:type="paragraph" w:styleId="BodyText">
    <w:name w:val="Body Text"/>
    <w:basedOn w:val="Normal"/>
    <w:link w:val="BodyTextChar"/>
    <w:unhideWhenUsed/>
    <w:rsid w:val="00F232CD"/>
    <w:pPr>
      <w:suppressAutoHyphens/>
      <w:spacing w:after="220" w:line="220" w:lineRule="atLeast"/>
    </w:pPr>
    <w:rPr>
      <w:rFonts w:eastAsia="Times New Roman" w:cs="Times New Roman"/>
      <w:spacing w:val="-5"/>
      <w:sz w:val="20"/>
      <w:szCs w:val="20"/>
      <w:lang w:val="en-US" w:eastAsia="ar-SA"/>
    </w:rPr>
  </w:style>
  <w:style w:type="character" w:customStyle="1" w:styleId="BodyTextChar">
    <w:name w:val="Body Text Char"/>
    <w:link w:val="BodyText"/>
    <w:rsid w:val="00F232CD"/>
    <w:rPr>
      <w:rFonts w:eastAsia="Times New Roman" w:cs="Times New Roman"/>
      <w:spacing w:val="-5"/>
      <w:lang w:val="en-US" w:eastAsia="ar-SA"/>
    </w:rPr>
  </w:style>
  <w:style w:type="paragraph" w:styleId="Header">
    <w:name w:val="header"/>
    <w:basedOn w:val="Normal"/>
    <w:link w:val="HeaderChar"/>
    <w:uiPriority w:val="99"/>
    <w:unhideWhenUsed/>
    <w:rsid w:val="00F13710"/>
    <w:pPr>
      <w:tabs>
        <w:tab w:val="center" w:pos="4513"/>
        <w:tab w:val="right" w:pos="9026"/>
      </w:tabs>
    </w:pPr>
  </w:style>
  <w:style w:type="character" w:customStyle="1" w:styleId="HeaderChar">
    <w:name w:val="Header Char"/>
    <w:link w:val="Header"/>
    <w:uiPriority w:val="99"/>
    <w:rsid w:val="00F13710"/>
    <w:rPr>
      <w:sz w:val="24"/>
      <w:szCs w:val="22"/>
      <w:lang w:val="en-ZA" w:eastAsia="en-US"/>
    </w:rPr>
  </w:style>
  <w:style w:type="paragraph" w:styleId="Footer">
    <w:name w:val="footer"/>
    <w:basedOn w:val="Normal"/>
    <w:link w:val="FooterChar"/>
    <w:uiPriority w:val="99"/>
    <w:unhideWhenUsed/>
    <w:rsid w:val="00F13710"/>
    <w:pPr>
      <w:tabs>
        <w:tab w:val="center" w:pos="4513"/>
        <w:tab w:val="right" w:pos="9026"/>
      </w:tabs>
    </w:pPr>
  </w:style>
  <w:style w:type="character" w:customStyle="1" w:styleId="FooterChar">
    <w:name w:val="Footer Char"/>
    <w:link w:val="Footer"/>
    <w:uiPriority w:val="99"/>
    <w:rsid w:val="00F13710"/>
    <w:rPr>
      <w:sz w:val="24"/>
      <w:szCs w:val="22"/>
      <w:lang w:val="en-ZA" w:eastAsia="en-US"/>
    </w:rPr>
  </w:style>
  <w:style w:type="paragraph" w:styleId="FootnoteText">
    <w:name w:val="footnote text"/>
    <w:basedOn w:val="Normal"/>
    <w:link w:val="FootnoteTextChar"/>
    <w:uiPriority w:val="99"/>
    <w:semiHidden/>
    <w:unhideWhenUsed/>
    <w:rsid w:val="00DF7EEB"/>
    <w:rPr>
      <w:sz w:val="20"/>
      <w:szCs w:val="20"/>
    </w:rPr>
  </w:style>
  <w:style w:type="character" w:customStyle="1" w:styleId="FootnoteTextChar">
    <w:name w:val="Footnote Text Char"/>
    <w:basedOn w:val="DefaultParagraphFont"/>
    <w:link w:val="FootnoteText"/>
    <w:uiPriority w:val="99"/>
    <w:semiHidden/>
    <w:rsid w:val="00DF7EEB"/>
    <w:rPr>
      <w:lang w:val="en-ZA" w:eastAsia="en-US"/>
    </w:rPr>
  </w:style>
  <w:style w:type="character" w:styleId="FootnoteReference">
    <w:name w:val="footnote reference"/>
    <w:basedOn w:val="DefaultParagraphFont"/>
    <w:uiPriority w:val="99"/>
    <w:semiHidden/>
    <w:unhideWhenUsed/>
    <w:rsid w:val="00DF7EEB"/>
    <w:rPr>
      <w:vertAlign w:val="superscript"/>
    </w:rPr>
  </w:style>
  <w:style w:type="paragraph" w:styleId="ListBullet">
    <w:name w:val="List Bullet"/>
    <w:basedOn w:val="Normal"/>
    <w:uiPriority w:val="99"/>
    <w:unhideWhenUsed/>
    <w:rsid w:val="00A2236E"/>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4803">
      <w:bodyDiv w:val="1"/>
      <w:marLeft w:val="0"/>
      <w:marRight w:val="0"/>
      <w:marTop w:val="0"/>
      <w:marBottom w:val="0"/>
      <w:divBdr>
        <w:top w:val="none" w:sz="0" w:space="0" w:color="auto"/>
        <w:left w:val="none" w:sz="0" w:space="0" w:color="auto"/>
        <w:bottom w:val="none" w:sz="0" w:space="0" w:color="auto"/>
        <w:right w:val="none" w:sz="0" w:space="0" w:color="auto"/>
      </w:divBdr>
    </w:div>
    <w:div w:id="166141467">
      <w:bodyDiv w:val="1"/>
      <w:marLeft w:val="0"/>
      <w:marRight w:val="0"/>
      <w:marTop w:val="0"/>
      <w:marBottom w:val="0"/>
      <w:divBdr>
        <w:top w:val="none" w:sz="0" w:space="0" w:color="auto"/>
        <w:left w:val="none" w:sz="0" w:space="0" w:color="auto"/>
        <w:bottom w:val="none" w:sz="0" w:space="0" w:color="auto"/>
        <w:right w:val="none" w:sz="0" w:space="0" w:color="auto"/>
      </w:divBdr>
    </w:div>
    <w:div w:id="191042743">
      <w:bodyDiv w:val="1"/>
      <w:marLeft w:val="0"/>
      <w:marRight w:val="0"/>
      <w:marTop w:val="0"/>
      <w:marBottom w:val="0"/>
      <w:divBdr>
        <w:top w:val="none" w:sz="0" w:space="0" w:color="auto"/>
        <w:left w:val="none" w:sz="0" w:space="0" w:color="auto"/>
        <w:bottom w:val="none" w:sz="0" w:space="0" w:color="auto"/>
        <w:right w:val="none" w:sz="0" w:space="0" w:color="auto"/>
      </w:divBdr>
    </w:div>
    <w:div w:id="566503289">
      <w:bodyDiv w:val="1"/>
      <w:marLeft w:val="0"/>
      <w:marRight w:val="0"/>
      <w:marTop w:val="0"/>
      <w:marBottom w:val="0"/>
      <w:divBdr>
        <w:top w:val="none" w:sz="0" w:space="0" w:color="auto"/>
        <w:left w:val="none" w:sz="0" w:space="0" w:color="auto"/>
        <w:bottom w:val="none" w:sz="0" w:space="0" w:color="auto"/>
        <w:right w:val="none" w:sz="0" w:space="0" w:color="auto"/>
      </w:divBdr>
    </w:div>
    <w:div w:id="1148549770">
      <w:bodyDiv w:val="1"/>
      <w:marLeft w:val="0"/>
      <w:marRight w:val="0"/>
      <w:marTop w:val="0"/>
      <w:marBottom w:val="0"/>
      <w:divBdr>
        <w:top w:val="none" w:sz="0" w:space="0" w:color="auto"/>
        <w:left w:val="none" w:sz="0" w:space="0" w:color="auto"/>
        <w:bottom w:val="none" w:sz="0" w:space="0" w:color="auto"/>
        <w:right w:val="none" w:sz="0" w:space="0" w:color="auto"/>
      </w:divBdr>
    </w:div>
    <w:div w:id="151141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D17B-DDE8-42D0-80A1-18ED13A8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David.Grant@gfexpl.com</dc:creator>
  <cp:lastModifiedBy>User</cp:lastModifiedBy>
  <cp:revision>2</cp:revision>
  <cp:lastPrinted>2019-01-10T12:42:00Z</cp:lastPrinted>
  <dcterms:created xsi:type="dcterms:W3CDTF">2020-06-17T06:03:00Z</dcterms:created>
  <dcterms:modified xsi:type="dcterms:W3CDTF">2020-06-17T06:03:00Z</dcterms:modified>
</cp:coreProperties>
</file>