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F8" w:rsidRPr="00BC5572" w:rsidRDefault="00E33DF8" w:rsidP="00BC5572">
      <w:pPr>
        <w:pStyle w:val="Header"/>
        <w:tabs>
          <w:tab w:val="clear" w:pos="4513"/>
          <w:tab w:val="clear" w:pos="9026"/>
          <w:tab w:val="left" w:pos="7434"/>
        </w:tabs>
        <w:spacing w:before="400" w:after="100"/>
        <w:rPr>
          <w:b/>
          <w:color w:val="1F497D"/>
          <w:szCs w:val="24"/>
          <w:lang w:val="ru-RU"/>
        </w:rPr>
      </w:pPr>
      <w:r w:rsidRPr="00E33DF8">
        <w:rPr>
          <w:b/>
          <w:color w:val="1F497D"/>
          <w:szCs w:val="24"/>
        </w:rPr>
        <w:t>BIS</w:t>
      </w:r>
      <w:r w:rsidRPr="005B3C35">
        <w:rPr>
          <w:b/>
          <w:color w:val="1F497D"/>
          <w:szCs w:val="24"/>
          <w:lang w:val="ru-RU"/>
        </w:rPr>
        <w:t xml:space="preserve"> о</w:t>
      </w:r>
      <w:r w:rsidR="000831EE">
        <w:rPr>
          <w:b/>
          <w:color w:val="1F497D"/>
          <w:szCs w:val="24"/>
          <w:lang w:val="ru-RU"/>
        </w:rPr>
        <w:t>пла</w:t>
      </w:r>
      <w:r w:rsidR="000F30D8">
        <w:rPr>
          <w:b/>
          <w:color w:val="1F497D"/>
          <w:szCs w:val="24"/>
          <w:lang w:val="ru-RU"/>
        </w:rPr>
        <w:t>та</w:t>
      </w:r>
      <w:r w:rsidR="00B659AF">
        <w:rPr>
          <w:b/>
          <w:color w:val="1F497D"/>
          <w:szCs w:val="24"/>
          <w:lang w:val="ru-RU"/>
        </w:rPr>
        <w:t xml:space="preserve"> за обучение</w:t>
      </w:r>
      <w:r w:rsidR="00833DE5">
        <w:rPr>
          <w:b/>
          <w:color w:val="1F497D"/>
          <w:szCs w:val="24"/>
          <w:lang w:val="ru-RU"/>
        </w:rPr>
        <w:t xml:space="preserve"> за учебный год с августа 20</w:t>
      </w:r>
      <w:r w:rsidR="004B41AD">
        <w:rPr>
          <w:b/>
          <w:color w:val="1F497D"/>
          <w:szCs w:val="24"/>
          <w:lang w:val="ru-RU"/>
        </w:rPr>
        <w:t>2</w:t>
      </w:r>
      <w:r w:rsidR="004B41AD" w:rsidRPr="004B41AD">
        <w:rPr>
          <w:b/>
          <w:color w:val="1F497D"/>
          <w:szCs w:val="24"/>
          <w:lang w:val="ru-RU"/>
        </w:rPr>
        <w:t>1</w:t>
      </w:r>
      <w:r w:rsidR="004B41AD">
        <w:rPr>
          <w:b/>
          <w:color w:val="1F497D"/>
          <w:szCs w:val="24"/>
          <w:lang w:val="ru-RU"/>
        </w:rPr>
        <w:t xml:space="preserve"> по июнь 2022</w:t>
      </w:r>
      <w:r w:rsidRPr="005B3C35">
        <w:rPr>
          <w:b/>
          <w:color w:val="1F497D"/>
          <w:szCs w:val="24"/>
          <w:lang w:val="ru-RU"/>
        </w:rPr>
        <w:t xml:space="preserve"> в </w:t>
      </w:r>
      <w:r w:rsidR="00833DE5" w:rsidRPr="00833DE5">
        <w:rPr>
          <w:b/>
          <w:color w:val="1F497D"/>
          <w:szCs w:val="24"/>
          <w:lang w:val="ru-RU"/>
        </w:rPr>
        <w:t xml:space="preserve">‘000 </w:t>
      </w:r>
      <w:r w:rsidR="00833DE5">
        <w:rPr>
          <w:b/>
          <w:color w:val="1F497D"/>
          <w:szCs w:val="24"/>
          <w:lang w:val="en-US"/>
        </w:rPr>
        <w:t>SOM</w:t>
      </w:r>
    </w:p>
    <w:tbl>
      <w:tblPr>
        <w:tblW w:w="11166" w:type="dxa"/>
        <w:tblInd w:w="-1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606"/>
        <w:gridCol w:w="1530"/>
        <w:gridCol w:w="1440"/>
        <w:gridCol w:w="1440"/>
        <w:gridCol w:w="1440"/>
        <w:gridCol w:w="1530"/>
        <w:gridCol w:w="180"/>
      </w:tblGrid>
      <w:tr w:rsidR="0067587F" w:rsidRPr="00DF7D93" w:rsidTr="004B41AD">
        <w:trPr>
          <w:trHeight w:val="397"/>
        </w:trPr>
        <w:tc>
          <w:tcPr>
            <w:tcW w:w="3606" w:type="dxa"/>
            <w:shd w:val="clear" w:color="auto" w:fill="F2F2F2" w:themeFill="background1" w:themeFillShade="F2"/>
            <w:vAlign w:val="center"/>
          </w:tcPr>
          <w:p w:rsidR="00E33DF8" w:rsidRPr="00DF7D93" w:rsidRDefault="00E33DF8" w:rsidP="00D55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Класс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E33DF8" w:rsidRPr="00DF7D93" w:rsidRDefault="00E33DF8" w:rsidP="00D559FE">
            <w:pPr>
              <w:jc w:val="center"/>
              <w:rPr>
                <w:bCs/>
                <w:color w:val="000000" w:themeColor="text1"/>
                <w:sz w:val="18"/>
                <w:szCs w:val="18"/>
                <w:lang w:val="ru-RU"/>
              </w:rPr>
            </w:pPr>
            <w:r w:rsidRPr="00DF7D93"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  <w:t>Дошкольные группы 1-3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33DF8" w:rsidRPr="00DF7D93" w:rsidRDefault="00E33DF8" w:rsidP="00D559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F7D93"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  <w:t>Начальные классы 1-6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33DF8" w:rsidRPr="00DF7D93" w:rsidRDefault="00E33DF8" w:rsidP="00652F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  <w:t>Средни</w:t>
            </w:r>
            <w:r w:rsidR="00652F69" w:rsidRPr="00DF7D93"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  <w:t>е</w:t>
            </w:r>
            <w:r w:rsidR="0067587F" w:rsidRPr="00DF7D93"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  <w:t xml:space="preserve"> классы </w:t>
            </w:r>
            <w:r w:rsidRPr="00DF7D93"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  <w:t>1-3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33DF8" w:rsidRPr="00DF7D93" w:rsidRDefault="0072786B" w:rsidP="0067587F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F7D93"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  <w:t>Старшие</w:t>
            </w:r>
            <w:proofErr w:type="spellEnd"/>
            <w:r w:rsidRPr="00DF7D93"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831EE" w:rsidRPr="00DF7D93"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  <w:t>классы</w:t>
            </w:r>
            <w:proofErr w:type="spellEnd"/>
            <w:r w:rsidR="0067587F" w:rsidRPr="00DF7D93"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="00E33DF8" w:rsidRPr="00DF7D93"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  <w:t xml:space="preserve">1 </w:t>
            </w:r>
            <w:r w:rsidR="000831EE" w:rsidRPr="00DF7D93"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  <w:t>-</w:t>
            </w:r>
            <w:r w:rsidR="00E33DF8" w:rsidRPr="00DF7D93"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  <w:t xml:space="preserve"> 2</w:t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:rsidR="000831EE" w:rsidRPr="00DF7D93" w:rsidRDefault="000831EE" w:rsidP="0067587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F7D93"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  <w:t>Старшие классы 3 - 4</w:t>
            </w:r>
          </w:p>
        </w:tc>
      </w:tr>
      <w:tr w:rsidR="0067587F" w:rsidRPr="00DF7D93" w:rsidTr="004B41AD">
        <w:trPr>
          <w:trHeight w:val="397"/>
        </w:trPr>
        <w:tc>
          <w:tcPr>
            <w:tcW w:w="3606" w:type="dxa"/>
            <w:shd w:val="clear" w:color="auto" w:fill="F2F2F2" w:themeFill="background1" w:themeFillShade="F2"/>
            <w:vAlign w:val="center"/>
          </w:tcPr>
          <w:p w:rsidR="00E33DF8" w:rsidRPr="00DF7D93" w:rsidRDefault="0054277F" w:rsidP="00D55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Возраст на 1 сентября 2020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E33DF8" w:rsidRPr="00DF7D93" w:rsidRDefault="00E33DF8" w:rsidP="00D55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  <w:t>2-4 года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33DF8" w:rsidRPr="00DF7D93" w:rsidRDefault="00E33DF8" w:rsidP="00D55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  <w:t>5-10 лет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33DF8" w:rsidRPr="00DF7D93" w:rsidRDefault="00E33DF8" w:rsidP="00D55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  <w:t>11-13 лет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33DF8" w:rsidRPr="00DF7D93" w:rsidRDefault="00E33DF8" w:rsidP="00D55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  <w:t>14-15 лет</w:t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:rsidR="00E33DF8" w:rsidRPr="00DF7D93" w:rsidRDefault="00E33DF8" w:rsidP="00D559F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  <w:t>16-17 лет</w:t>
            </w:r>
          </w:p>
        </w:tc>
      </w:tr>
      <w:tr w:rsidR="0067587F" w:rsidRPr="00DF7D93" w:rsidTr="004B41AD">
        <w:trPr>
          <w:trHeight w:val="397"/>
        </w:trPr>
        <w:tc>
          <w:tcPr>
            <w:tcW w:w="3606" w:type="dxa"/>
            <w:shd w:val="clear" w:color="auto" w:fill="FFFFCC"/>
            <w:vAlign w:val="center"/>
          </w:tcPr>
          <w:p w:rsidR="00DE17FD" w:rsidRPr="00DF7D93" w:rsidRDefault="0002707B" w:rsidP="00D559FE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Стандартная го</w:t>
            </w:r>
            <w:r w:rsidR="00CD6B0C"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довая оплата, вкл. </w:t>
            </w:r>
            <w:r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взнос в к</w:t>
            </w:r>
            <w:r w:rsidR="00CD6B0C"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апитальный фонд, начиная с начальных классов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DE17FD" w:rsidRPr="009E68B1" w:rsidRDefault="0054277F" w:rsidP="00D559F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825</w:t>
            </w:r>
          </w:p>
        </w:tc>
        <w:tc>
          <w:tcPr>
            <w:tcW w:w="1440" w:type="dxa"/>
            <w:shd w:val="clear" w:color="auto" w:fill="FFFFCC"/>
            <w:vAlign w:val="center"/>
          </w:tcPr>
          <w:p w:rsidR="00DE17FD" w:rsidRPr="00DF7D93" w:rsidRDefault="0054277F" w:rsidP="00D559F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1550</w:t>
            </w:r>
          </w:p>
        </w:tc>
        <w:tc>
          <w:tcPr>
            <w:tcW w:w="1440" w:type="dxa"/>
            <w:shd w:val="clear" w:color="auto" w:fill="FFFFCC"/>
            <w:vAlign w:val="center"/>
          </w:tcPr>
          <w:p w:rsidR="00DE17FD" w:rsidRPr="00DF7D93" w:rsidRDefault="0054277F" w:rsidP="00D55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1606</w:t>
            </w:r>
          </w:p>
        </w:tc>
        <w:tc>
          <w:tcPr>
            <w:tcW w:w="1440" w:type="dxa"/>
            <w:shd w:val="clear" w:color="auto" w:fill="FFFFCC"/>
            <w:vAlign w:val="center"/>
          </w:tcPr>
          <w:p w:rsidR="00DE17FD" w:rsidRPr="00DF7D93" w:rsidRDefault="0054277F" w:rsidP="00D55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1663</w:t>
            </w:r>
          </w:p>
        </w:tc>
        <w:tc>
          <w:tcPr>
            <w:tcW w:w="1710" w:type="dxa"/>
            <w:gridSpan w:val="2"/>
            <w:shd w:val="clear" w:color="auto" w:fill="FFFFCC"/>
            <w:vAlign w:val="center"/>
          </w:tcPr>
          <w:p w:rsidR="00DE17FD" w:rsidRPr="00DF7D93" w:rsidRDefault="0054277F" w:rsidP="00D55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1724</w:t>
            </w:r>
          </w:p>
        </w:tc>
      </w:tr>
      <w:tr w:rsidR="0067587F" w:rsidRPr="00DF7D93" w:rsidTr="004B41AD">
        <w:trPr>
          <w:trHeight w:val="397"/>
        </w:trPr>
        <w:tc>
          <w:tcPr>
            <w:tcW w:w="3606" w:type="dxa"/>
            <w:shd w:val="clear" w:color="auto" w:fill="FFFFCC"/>
            <w:vAlign w:val="center"/>
          </w:tcPr>
          <w:p w:rsidR="00E33DF8" w:rsidRPr="00DF7D93" w:rsidRDefault="00E33DF8" w:rsidP="00D55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Стандартная оплата за год</w:t>
            </w:r>
            <w:r w:rsidR="005B3C35"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E33DF8" w:rsidRPr="00DF7D93" w:rsidRDefault="0054277F" w:rsidP="00D559F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825</w:t>
            </w:r>
          </w:p>
        </w:tc>
        <w:tc>
          <w:tcPr>
            <w:tcW w:w="1440" w:type="dxa"/>
            <w:shd w:val="clear" w:color="auto" w:fill="FFFFCC"/>
            <w:vAlign w:val="center"/>
          </w:tcPr>
          <w:p w:rsidR="00E33DF8" w:rsidRPr="00DF7D93" w:rsidRDefault="0054277F" w:rsidP="00D559FE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1100</w:t>
            </w:r>
          </w:p>
        </w:tc>
        <w:tc>
          <w:tcPr>
            <w:tcW w:w="1440" w:type="dxa"/>
            <w:shd w:val="clear" w:color="auto" w:fill="FFFFCC"/>
            <w:vAlign w:val="center"/>
          </w:tcPr>
          <w:p w:rsidR="00E33DF8" w:rsidRPr="00DF7D93" w:rsidRDefault="0054277F" w:rsidP="00D559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1156</w:t>
            </w:r>
          </w:p>
        </w:tc>
        <w:tc>
          <w:tcPr>
            <w:tcW w:w="1440" w:type="dxa"/>
            <w:shd w:val="clear" w:color="auto" w:fill="FFFFCC"/>
            <w:vAlign w:val="center"/>
          </w:tcPr>
          <w:p w:rsidR="00E33DF8" w:rsidRPr="00DF7D93" w:rsidRDefault="0054277F" w:rsidP="00D559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1213</w:t>
            </w:r>
          </w:p>
        </w:tc>
        <w:tc>
          <w:tcPr>
            <w:tcW w:w="1710" w:type="dxa"/>
            <w:gridSpan w:val="2"/>
            <w:shd w:val="clear" w:color="auto" w:fill="FFFFCC"/>
            <w:vAlign w:val="center"/>
          </w:tcPr>
          <w:p w:rsidR="00E33DF8" w:rsidRPr="00DF7D93" w:rsidRDefault="0054277F" w:rsidP="00D559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1274</w:t>
            </w:r>
          </w:p>
        </w:tc>
      </w:tr>
      <w:tr w:rsidR="004B41AD" w:rsidRPr="004B41AD" w:rsidTr="004B41AD">
        <w:tblPrEx>
          <w:tblBorders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1116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:rsidR="004B41AD" w:rsidRPr="000A7377" w:rsidRDefault="004B41AD" w:rsidP="004B41AD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val="ru-RU" w:eastAsia="en-GB"/>
              </w:rPr>
              <w:t xml:space="preserve">Стандартная оплата за год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должна производиться до 30 июня или в течение 5 дней после зачисления, в случае зачисления в течение учебного года. Места в классах будут гарантированы только в случае оплаты 10% от общей стоимости за год за исключением некоторых организаций которые оплачивают Капитальный Фонд школы. 5</w:t>
            </w:r>
            <w:r w:rsidRPr="000F1A9E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%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скидка</w:t>
            </w:r>
            <w:r w:rsidRPr="000F1A9E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дается</w:t>
            </w:r>
            <w:r w:rsidRPr="000F1A9E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на</w:t>
            </w:r>
            <w:r w:rsidRPr="000F1A9E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второго</w:t>
            </w:r>
            <w:r w:rsidRPr="000F1A9E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ребенка</w:t>
            </w:r>
            <w:r w:rsidRPr="000F1A9E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.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15% скидка - на третьего и последующих детей по соглашению.</w:t>
            </w:r>
          </w:p>
        </w:tc>
      </w:tr>
      <w:tr w:rsidR="00E33DF8" w:rsidRPr="00DF7D93" w:rsidTr="004B41AD">
        <w:tblPrEx>
          <w:tblBorders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16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85F" w:rsidRPr="00DF7D93" w:rsidRDefault="00A112AB" w:rsidP="00AB3BC6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ВАРИАНТЫ</w:t>
            </w:r>
            <w:r w:rsidR="004E685F"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ОПЛАТЫ</w:t>
            </w:r>
          </w:p>
        </w:tc>
      </w:tr>
      <w:tr w:rsidR="004B41AD" w:rsidRPr="004C21B4" w:rsidTr="004B41AD">
        <w:tblPrEx>
          <w:tblBorders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1098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3F7F9"/>
            <w:vAlign w:val="center"/>
          </w:tcPr>
          <w:p w:rsidR="004B41AD" w:rsidRPr="00A112AB" w:rsidRDefault="004B41AD" w:rsidP="00714911">
            <w:pPr>
              <w:spacing w:after="60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ПО ЧЕТВЕРТЯМ: на 10% выше, чем Стандартная оплата за год</w:t>
            </w:r>
          </w:p>
          <w:p w:rsidR="004B41AD" w:rsidRPr="00924A7F" w:rsidRDefault="004B41AD" w:rsidP="00714911">
            <w:pPr>
              <w:contextualSpacing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(1) 20% от общей суммы до 30 июня</w:t>
            </w:r>
            <w:r w:rsidRPr="00924A7F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, (2) 20% до 24 октября,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(3) </w:t>
            </w:r>
            <w:r w:rsidRPr="00924A7F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30% до 24 декабря, (4) 30% до 24 марта.</w:t>
            </w:r>
          </w:p>
          <w:p w:rsidR="004B41AD" w:rsidRPr="00924A7F" w:rsidRDefault="004B41AD" w:rsidP="00714911">
            <w:pPr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5% скидка дае</w:t>
            </w:r>
            <w:r w:rsidRPr="00924A7F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тся на второго ребенка.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 w:rsidRPr="00924A7F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15% скидка - на третьего и последующих детей по соглашению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. Оплата по семестрам иде</w:t>
            </w:r>
            <w:r w:rsidRPr="00924A7F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т выше, чем Стандартная оплата за год из-за высокой стоимости финансирования в Кыргызстане.</w:t>
            </w:r>
          </w:p>
        </w:tc>
      </w:tr>
      <w:tr w:rsidR="004B41AD" w:rsidRPr="004C21B4" w:rsidTr="004B41AD">
        <w:tblPrEx>
          <w:tblBorders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1098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CF6D8"/>
            <w:vAlign w:val="center"/>
          </w:tcPr>
          <w:p w:rsidR="004B41AD" w:rsidRPr="00B644AA" w:rsidRDefault="004B41AD" w:rsidP="00714911">
            <w:pPr>
              <w:spacing w:after="60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ПО МЕСЯЦАМ: на 12% выше, чем Стандартная оплата за год</w:t>
            </w:r>
          </w:p>
          <w:p w:rsidR="004B41AD" w:rsidRPr="00652F69" w:rsidRDefault="004B41AD" w:rsidP="00714911">
            <w:pPr>
              <w:contextualSpacing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Оплата за первый месяц обучения должна быть произведена до 30 июня, остальные равные</w:t>
            </w:r>
            <w:r w:rsidRPr="00B644AA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ежемесячные</w:t>
            </w:r>
            <w:r w:rsidRPr="00B644AA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платежи</w:t>
            </w:r>
            <w:r w:rsidRPr="00B644AA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в</w:t>
            </w:r>
            <w:r w:rsidRPr="00B644AA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течение 9</w:t>
            </w:r>
            <w:r w:rsidRPr="00B644AA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месяцев</w:t>
            </w:r>
            <w:r w:rsidRPr="00B644AA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,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должны производится до 24 числа предыдущего месяца. 5</w:t>
            </w:r>
            <w:r w:rsidRPr="00B644AA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%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скидка</w:t>
            </w:r>
            <w:r w:rsidRPr="00B644AA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дается</w:t>
            </w:r>
            <w:r w:rsidRPr="00B644AA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на</w:t>
            </w:r>
            <w:r w:rsidRPr="00B644AA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второго</w:t>
            </w:r>
            <w:r w:rsidRPr="00B644AA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ребенка</w:t>
            </w:r>
            <w:r w:rsidRPr="00B644AA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.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15% скидка - на третьего и последующих детей по соглашению. Оплата по месяцам идет выше, чем Стандартная оплата за год из-за высокой стоимости финансирования в Кыргызстане.</w:t>
            </w:r>
            <w:r w:rsidRPr="00B644AA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</w:p>
        </w:tc>
      </w:tr>
      <w:tr w:rsidR="004B41AD" w:rsidRPr="004C21B4" w:rsidTr="004B41AD">
        <w:tblPrEx>
          <w:tblBorders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1098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B41AD" w:rsidRPr="004E685F" w:rsidRDefault="004B41AD" w:rsidP="00714911">
            <w:pPr>
              <w:spacing w:before="20" w:after="2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ОПЛАТА ЗА ГОД С КОРПОРАТИВНОЙ СКИДКОЙ в 20% от стоимости Стандартной оплаты за год</w:t>
            </w:r>
          </w:p>
          <w:p w:rsidR="004B41AD" w:rsidRDefault="004B41AD" w:rsidP="00714911">
            <w:pPr>
              <w:spacing w:after="60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Предлагается</w:t>
            </w:r>
            <w:r w:rsidRPr="004E685F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организациям</w:t>
            </w:r>
            <w:r w:rsidRPr="004E685F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,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напрямую</w:t>
            </w:r>
            <w:r w:rsidRPr="004E685F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оплачивающим</w:t>
            </w:r>
            <w:r w:rsidRPr="004E685F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обучение</w:t>
            </w:r>
            <w:r w:rsidRPr="004E685F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5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или</w:t>
            </w:r>
            <w:r w:rsidRPr="004E685F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более</w:t>
            </w:r>
            <w:r w:rsidRPr="004E685F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учащихся</w:t>
            </w:r>
            <w:r w:rsidRPr="004E685F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,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которые</w:t>
            </w:r>
            <w:r w:rsidRPr="004E685F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являются гражданами Кыргызской Республики. Оплата</w:t>
            </w:r>
            <w:r w:rsidRPr="005B3C35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должна</w:t>
            </w:r>
            <w:r w:rsidRPr="005B3C35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производиться напрямую</w:t>
            </w:r>
            <w:r w:rsidRPr="005B3C35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в</w:t>
            </w:r>
            <w:r w:rsidRPr="005B3C35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en-GB"/>
              </w:rPr>
              <w:t>BIS</w:t>
            </w:r>
            <w:r w:rsidRPr="005B3C35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Администратором группы полной невозвратной суммой за весь год до 30 июня. Список</w:t>
            </w:r>
            <w:r w:rsidRPr="00A112AB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членов</w:t>
            </w:r>
            <w:r w:rsidRPr="00A112AB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группы</w:t>
            </w:r>
            <w:r w:rsidRPr="00A112AB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должен</w:t>
            </w:r>
            <w:r w:rsidRPr="00A112AB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быть</w:t>
            </w:r>
            <w:r w:rsidRPr="00A112AB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передан школе</w:t>
            </w:r>
            <w:r w:rsidRPr="00A112AB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до 15</w:t>
            </w:r>
            <w:r w:rsidRPr="00A112AB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июня</w:t>
            </w:r>
            <w:r w:rsidRPr="00A112AB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,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чтобы</w:t>
            </w:r>
            <w:r w:rsidRPr="00A112AB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подготовить</w:t>
            </w:r>
            <w:r w:rsidRPr="00A112AB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инвойс вовремя</w:t>
            </w:r>
            <w:r w:rsidRPr="00A112AB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.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В</w:t>
            </w:r>
            <w:r w:rsidRPr="00A112AB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рамках</w:t>
            </w:r>
            <w:r w:rsidRPr="00A112AB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корпоративной</w:t>
            </w:r>
            <w:r w:rsidRPr="00A112AB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скидки</w:t>
            </w:r>
            <w:r w:rsidRPr="00A112AB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не предлагаются варианты оплаты по месяцам</w:t>
            </w:r>
            <w:r w:rsidRPr="00A112AB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или по семестрам, а также нет семейных скидок.</w:t>
            </w:r>
          </w:p>
        </w:tc>
      </w:tr>
      <w:tr w:rsidR="004B41AD" w:rsidRPr="00CC47DE" w:rsidTr="004B41AD">
        <w:tblPrEx>
          <w:tblBorders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1098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EF4EC"/>
            <w:vAlign w:val="center"/>
            <w:hideMark/>
          </w:tcPr>
          <w:p w:rsidR="004B41AD" w:rsidRPr="008908C3" w:rsidRDefault="004B41AD" w:rsidP="00714911">
            <w:pPr>
              <w:spacing w:after="60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>ПЛАТИНОВАЯ СКИДКА в 20% от стоимости Стандартной оплаты за год, оплаты по четвертям, или ежемесячной оплаты</w:t>
            </w:r>
          </w:p>
          <w:p w:rsidR="004B41AD" w:rsidRPr="008908C3" w:rsidRDefault="004B41AD" w:rsidP="00714911">
            <w:pPr>
              <w:contextualSpacing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20% Платиновая скидка предоставляется всем учащимся, проучившимся в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en-GB"/>
              </w:rPr>
              <w:t>BIS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три полных учебных года и, которые продолжат учебу в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en-GB"/>
              </w:rPr>
              <w:t>BIS</w:t>
            </w:r>
            <w:r w:rsidRPr="008908C3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до окончания школы. При необходимости с</w:t>
            </w:r>
            <w:r w:rsidRPr="008908C3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кидка может быть применена к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Стандартной о</w:t>
            </w:r>
            <w:r w:rsidRPr="008908C3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плате за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г</w:t>
            </w:r>
            <w:r w:rsidRPr="008908C3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од или к оплате по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семестрам или месяцам</w:t>
            </w:r>
            <w:r w:rsidRPr="008908C3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. В рамках платиновой скидки не предлагаются семейные скидки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>.</w:t>
            </w:r>
          </w:p>
        </w:tc>
      </w:tr>
      <w:tr w:rsidR="004B41AD" w:rsidRPr="004C21B4" w:rsidTr="004B41AD">
        <w:tblPrEx>
          <w:tblBorders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1098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4B41AD" w:rsidRPr="00E507FA" w:rsidRDefault="004B41AD" w:rsidP="00714911">
            <w:pPr>
              <w:spacing w:after="60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E507FA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en-GB"/>
              </w:rPr>
              <w:t xml:space="preserve">ДИСТАНЦИОННОЕ ОБУЧЕНИЕ:  </w:t>
            </w:r>
            <w:r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>В тех случаях, где</w:t>
            </w:r>
            <w:r w:rsidRPr="00E507FA"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 xml:space="preserve"> требуется дистанционное обуче</w:t>
            </w:r>
            <w:r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>ние с поддержкой преподавателя</w:t>
            </w:r>
            <w:r w:rsidRPr="00E507FA"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 xml:space="preserve">, к полной годовой </w:t>
            </w:r>
            <w:r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 xml:space="preserve">оплате указанной </w:t>
            </w:r>
            <w:r w:rsidRPr="00E507FA"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 xml:space="preserve">в таблице выше, </w:t>
            </w:r>
            <w:r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 xml:space="preserve">будет прибавлена дополнительная сумма </w:t>
            </w:r>
            <w:r w:rsidRPr="00E507FA"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>в размере 10</w:t>
            </w:r>
            <w:r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>,</w:t>
            </w:r>
            <w:r w:rsidRPr="00E507FA"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>000</w:t>
            </w:r>
            <w:r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 xml:space="preserve"> долларов</w:t>
            </w:r>
            <w:r w:rsidRPr="00E507FA"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>. Эта возможность предоставляется только в том случае, если</w:t>
            </w:r>
            <w:r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 xml:space="preserve"> по меньшей мере четыре ученика выбирали</w:t>
            </w:r>
            <w:r w:rsidRPr="00E507FA"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 xml:space="preserve"> этот в</w:t>
            </w:r>
            <w:r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>ариант из соответствующей возрастной группы, для того чтобы школа смогла  обеспечить необходимый</w:t>
            </w:r>
            <w:r w:rsidRPr="00E507FA"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 xml:space="preserve"> набор</w:t>
            </w:r>
            <w:r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 xml:space="preserve"> учителей для проведения дистанционного обучения</w:t>
            </w:r>
            <w:r w:rsidRPr="00E507FA"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>. Если такой вариант не выбран или не предус</w:t>
            </w:r>
            <w:r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>мотрен, то все образовательные услуги будут предоставлятся</w:t>
            </w:r>
            <w:r w:rsidRPr="00E507FA"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 xml:space="preserve"> на основе </w:t>
            </w:r>
            <w:r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 xml:space="preserve">физического </w:t>
            </w:r>
            <w:r w:rsidRPr="00E507FA">
              <w:rPr>
                <w:color w:val="000000"/>
                <w:sz w:val="20"/>
                <w:szCs w:val="20"/>
                <w:shd w:val="clear" w:color="auto" w:fill="FBD4B4" w:themeFill="accent6" w:themeFillTint="66"/>
                <w:lang w:val="ru-RU"/>
              </w:rPr>
              <w:t>обучения в школе.</w:t>
            </w:r>
            <w:r w:rsidRPr="00E507FA">
              <w:rPr>
                <w:rFonts w:eastAsia="Times New Roman"/>
                <w:bCs/>
                <w:color w:val="000000"/>
                <w:sz w:val="20"/>
                <w:szCs w:val="20"/>
                <w:lang w:val="ru-RU" w:eastAsia="en-GB"/>
              </w:rPr>
              <w:t xml:space="preserve"> </w:t>
            </w:r>
          </w:p>
        </w:tc>
      </w:tr>
    </w:tbl>
    <w:p w:rsidR="004B41AD" w:rsidRPr="008908C3" w:rsidRDefault="004B41AD" w:rsidP="004B41AD">
      <w:pPr>
        <w:rPr>
          <w:sz w:val="6"/>
          <w:szCs w:val="6"/>
          <w:lang w:val="ru-RU"/>
        </w:rPr>
      </w:pPr>
    </w:p>
    <w:tbl>
      <w:tblPr>
        <w:tblW w:w="10915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15"/>
      </w:tblGrid>
      <w:tr w:rsidR="004B41AD" w:rsidRPr="004C21B4" w:rsidTr="00714911">
        <w:trPr>
          <w:trHeight w:val="183"/>
        </w:trPr>
        <w:tc>
          <w:tcPr>
            <w:tcW w:w="10915" w:type="dxa"/>
            <w:shd w:val="clear" w:color="auto" w:fill="FFFFFF" w:themeFill="background1"/>
            <w:vAlign w:val="center"/>
          </w:tcPr>
          <w:p w:rsidR="004B41AD" w:rsidRPr="00BB1A75" w:rsidRDefault="004B41AD" w:rsidP="00714911">
            <w:pPr>
              <w:spacing w:line="240" w:lineRule="atLeast"/>
              <w:contextualSpacing/>
              <w:jc w:val="left"/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val="ru-RU" w:eastAsia="en-GB"/>
              </w:rPr>
              <w:t>ЧТО</w:t>
            </w:r>
            <w:r w:rsidRPr="000F1A9E"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val="ru-RU" w:eastAsia="en-GB"/>
              </w:rPr>
              <w:t>ВКЛЮЧЕНО</w:t>
            </w:r>
            <w:r w:rsidRPr="000F1A9E"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val="ru-RU" w:eastAsia="en-GB"/>
              </w:rPr>
              <w:t>И</w:t>
            </w:r>
            <w:r w:rsidRPr="000F1A9E"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val="ru-RU" w:eastAsia="en-GB"/>
              </w:rPr>
              <w:t>ЧТО</w:t>
            </w:r>
            <w:r w:rsidRPr="000F1A9E"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val="ru-RU" w:eastAsia="en-GB"/>
              </w:rPr>
              <w:t>ЕЩЁ</w:t>
            </w:r>
            <w:r w:rsidRPr="000F1A9E"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val="ru-RU" w:eastAsia="en-GB"/>
              </w:rPr>
              <w:t>ТРЕБУЕТСЯ</w:t>
            </w:r>
            <w:r w:rsidRPr="000F1A9E"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val="ru-RU" w:eastAsia="en-GB"/>
              </w:rPr>
              <w:t>ОПЛАТИТЬ</w:t>
            </w:r>
            <w:r w:rsidRPr="000F1A9E">
              <w:rPr>
                <w:rFonts w:eastAsia="Times New Roman"/>
                <w:b/>
                <w:bCs/>
                <w:caps/>
                <w:color w:val="000000"/>
                <w:sz w:val="20"/>
                <w:szCs w:val="20"/>
                <w:lang w:val="ru-RU" w:eastAsia="en-GB"/>
              </w:rPr>
              <w:t>?</w:t>
            </w:r>
          </w:p>
          <w:p w:rsidR="004B41AD" w:rsidRPr="00BB1A75" w:rsidRDefault="004B41AD" w:rsidP="00714911">
            <w:pPr>
              <w:spacing w:before="40" w:after="60" w:line="240" w:lineRule="atLeast"/>
              <w:contextualSpacing/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Оплата</w:t>
            </w:r>
            <w:r w:rsidRPr="00BB1A7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включает</w:t>
            </w:r>
            <w:r w:rsidRPr="00BB1A75">
              <w:rPr>
                <w:b/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обучение</w:t>
            </w:r>
            <w:r w:rsidRPr="00BB1A7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BB1A7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течение</w:t>
            </w:r>
            <w:r w:rsidRPr="00BB1A75">
              <w:rPr>
                <w:sz w:val="20"/>
                <w:szCs w:val="20"/>
                <w:lang w:val="ru-RU"/>
              </w:rPr>
              <w:t xml:space="preserve"> 180 </w:t>
            </w:r>
            <w:r>
              <w:rPr>
                <w:sz w:val="20"/>
                <w:szCs w:val="20"/>
                <w:lang w:val="ru-RU"/>
              </w:rPr>
              <w:t>учебных</w:t>
            </w:r>
            <w:r w:rsidRPr="00BB1A7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дней</w:t>
            </w:r>
            <w:r w:rsidRPr="00BB1A75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с</w:t>
            </w:r>
            <w:r w:rsidRPr="00BB1A7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8:</w:t>
            </w:r>
            <w:r w:rsidRPr="00BB1A75"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  <w:lang w:val="ru-RU"/>
              </w:rPr>
              <w:t>до 15:</w:t>
            </w:r>
            <w:r w:rsidRPr="00BB1A75">
              <w:rPr>
                <w:sz w:val="20"/>
                <w:szCs w:val="20"/>
                <w:lang w:val="ru-RU"/>
              </w:rPr>
              <w:t>30</w:t>
            </w:r>
            <w:r>
              <w:rPr>
                <w:sz w:val="20"/>
                <w:szCs w:val="20"/>
                <w:lang w:val="ru-RU"/>
              </w:rPr>
              <w:t>),</w:t>
            </w:r>
            <w:r w:rsidRPr="00BB1A7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завтрак</w:t>
            </w:r>
            <w:r w:rsidRPr="00BB1A75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обед</w:t>
            </w:r>
            <w:r w:rsidRPr="00BB1A7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 полдник</w:t>
            </w:r>
            <w:r w:rsidRPr="00BB1A75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а также бесплатные кружки по желанию с 15:30 до 16:30 (если доступны) и присмотр до 16:</w:t>
            </w:r>
            <w:r w:rsidRPr="00BB1A75">
              <w:rPr>
                <w:sz w:val="20"/>
                <w:szCs w:val="20"/>
                <w:lang w:val="ru-RU"/>
              </w:rPr>
              <w:t>30</w:t>
            </w:r>
            <w:r>
              <w:rPr>
                <w:sz w:val="20"/>
                <w:szCs w:val="20"/>
                <w:lang w:val="ru-RU"/>
              </w:rPr>
              <w:t xml:space="preserve"> в дошкольных группах и до 17:30 в начальной, средней и старшей школах</w:t>
            </w:r>
            <w:r w:rsidRPr="00BB1A75">
              <w:rPr>
                <w:sz w:val="20"/>
                <w:szCs w:val="20"/>
                <w:lang w:val="ru-RU"/>
              </w:rPr>
              <w:t xml:space="preserve">. </w:t>
            </w:r>
          </w:p>
          <w:p w:rsidR="004B41AD" w:rsidRPr="00294683" w:rsidRDefault="004B41AD" w:rsidP="00714911">
            <w:pPr>
              <w:autoSpaceDE w:val="0"/>
              <w:autoSpaceDN w:val="0"/>
              <w:adjustRightInd w:val="0"/>
              <w:contextualSpacing/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Дополнительная</w:t>
            </w:r>
            <w:r w:rsidRPr="0030648D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оплата</w:t>
            </w:r>
            <w:r w:rsidRPr="0030648D">
              <w:rPr>
                <w:b/>
                <w:sz w:val="20"/>
                <w:szCs w:val="20"/>
                <w:lang w:val="ru-RU"/>
              </w:rPr>
              <w:t>:</w:t>
            </w:r>
            <w:r w:rsidRPr="003064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требуется</w:t>
            </w:r>
            <w:r w:rsidRPr="003064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</w:t>
            </w:r>
            <w:r w:rsidRPr="003064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услуги</w:t>
            </w:r>
            <w:r w:rsidRPr="003064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школьного</w:t>
            </w:r>
            <w:r w:rsidRPr="003064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автобуса</w:t>
            </w:r>
            <w:r w:rsidRPr="003064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и за кружки по желанию, </w:t>
            </w:r>
            <w:r w:rsidRPr="0030648D">
              <w:rPr>
                <w:sz w:val="20"/>
                <w:szCs w:val="20"/>
                <w:lang w:val="ru-RU"/>
              </w:rPr>
              <w:t>влекущие дополнительные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0648D">
              <w:rPr>
                <w:sz w:val="20"/>
                <w:szCs w:val="20"/>
                <w:lang w:val="ru-RU"/>
              </w:rPr>
              <w:t>расходы,</w:t>
            </w:r>
            <w:r>
              <w:rPr>
                <w:sz w:val="20"/>
                <w:szCs w:val="20"/>
                <w:lang w:val="ru-RU"/>
              </w:rPr>
              <w:t xml:space="preserve"> такие как катание на лыжах, плавание</w:t>
            </w:r>
            <w:r w:rsidRPr="0030648D">
              <w:rPr>
                <w:sz w:val="20"/>
                <w:szCs w:val="20"/>
                <w:lang w:val="ru-RU"/>
              </w:rPr>
              <w:t>, скалолазание, а также за вакцинации, предлагаемые на выбор. Родители могут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0648D">
              <w:rPr>
                <w:sz w:val="20"/>
                <w:szCs w:val="20"/>
                <w:lang w:val="ru-RU"/>
              </w:rPr>
              <w:t>отказаться от школьного питания. В случае, если родители выбирают данный вариант, пред</w:t>
            </w:r>
            <w:r>
              <w:rPr>
                <w:sz w:val="20"/>
                <w:szCs w:val="20"/>
                <w:lang w:val="ru-RU"/>
              </w:rPr>
              <w:t>лагается скидка в размере $300 от стоимости оплаты за год</w:t>
            </w:r>
            <w:r w:rsidRPr="0030648D">
              <w:rPr>
                <w:sz w:val="20"/>
                <w:szCs w:val="20"/>
                <w:lang w:val="ru-RU"/>
              </w:rPr>
              <w:t>.</w:t>
            </w:r>
          </w:p>
          <w:p w:rsidR="004B41AD" w:rsidRDefault="004B41AD" w:rsidP="00714911">
            <w:pPr>
              <w:spacing w:before="40" w:after="60" w:line="240" w:lineRule="atLeast"/>
              <w:contextualSpacing/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Первоначал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ru-RU"/>
              </w:rPr>
              <w:t>ьный</w:t>
            </w:r>
            <w:r w:rsidRPr="0030648D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вступительный</w:t>
            </w:r>
            <w:r w:rsidRPr="0030648D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взнос</w:t>
            </w:r>
            <w:r w:rsidRPr="0030648D">
              <w:rPr>
                <w:b/>
                <w:sz w:val="20"/>
                <w:szCs w:val="20"/>
                <w:lang w:val="ru-RU"/>
              </w:rPr>
              <w:t>:</w:t>
            </w:r>
            <w:r w:rsidRPr="003064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3064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семьи</w:t>
            </w:r>
            <w:r w:rsidRPr="003064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взимается</w:t>
            </w:r>
            <w:r w:rsidRPr="003064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одноразовый</w:t>
            </w:r>
            <w:r w:rsidRPr="003064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административный</w:t>
            </w:r>
            <w:r w:rsidRPr="003064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взнос</w:t>
            </w:r>
            <w:r w:rsidRPr="003064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3064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размере</w:t>
            </w:r>
            <w:r w:rsidRPr="0030648D">
              <w:rPr>
                <w:sz w:val="20"/>
                <w:szCs w:val="20"/>
                <w:lang w:val="ru-RU"/>
              </w:rPr>
              <w:t xml:space="preserve"> $200 </w:t>
            </w:r>
            <w:r>
              <w:rPr>
                <w:sz w:val="20"/>
                <w:szCs w:val="20"/>
                <w:lang w:val="ru-RU"/>
              </w:rPr>
              <w:t>во</w:t>
            </w:r>
            <w:r w:rsidRPr="003064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время</w:t>
            </w:r>
            <w:r w:rsidRPr="003064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подачи</w:t>
            </w:r>
            <w:r w:rsidRPr="003064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первой</w:t>
            </w:r>
            <w:r w:rsidRPr="003064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заявки на зачисление.</w:t>
            </w:r>
          </w:p>
          <w:p w:rsidR="004B41AD" w:rsidRPr="00375863" w:rsidRDefault="004B41AD" w:rsidP="00714911">
            <w:pPr>
              <w:spacing w:before="40" w:after="60" w:line="240" w:lineRule="atLeast"/>
              <w:contextualSpacing/>
              <w:jc w:val="left"/>
              <w:rPr>
                <w:sz w:val="20"/>
                <w:szCs w:val="20"/>
                <w:lang w:val="ru-RU"/>
              </w:rPr>
            </w:pPr>
            <w:r w:rsidRPr="00375863">
              <w:rPr>
                <w:b/>
                <w:sz w:val="20"/>
                <w:szCs w:val="20"/>
                <w:lang w:val="ru-RU"/>
              </w:rPr>
              <w:t xml:space="preserve">Взнос в капитальный фонд: </w:t>
            </w:r>
            <w:r>
              <w:rPr>
                <w:sz w:val="20"/>
                <w:szCs w:val="20"/>
                <w:lang w:val="ru-RU"/>
              </w:rPr>
              <w:t>оплачивается как часть Стандартной оплаты за год</w:t>
            </w:r>
            <w:r w:rsidRPr="00375863">
              <w:rPr>
                <w:sz w:val="20"/>
                <w:szCs w:val="20"/>
                <w:lang w:val="ru-RU"/>
              </w:rPr>
              <w:t xml:space="preserve"> для</w:t>
            </w:r>
            <w:r>
              <w:rPr>
                <w:sz w:val="20"/>
                <w:szCs w:val="20"/>
                <w:lang w:val="ru-RU"/>
              </w:rPr>
              <w:t xml:space="preserve"> работников организаций, которым</w:t>
            </w:r>
            <w:r w:rsidRPr="00375863">
              <w:rPr>
                <w:sz w:val="20"/>
                <w:szCs w:val="20"/>
                <w:lang w:val="ru-RU"/>
              </w:rPr>
              <w:t xml:space="preserve"> покрывают н</w:t>
            </w:r>
            <w:r>
              <w:rPr>
                <w:sz w:val="20"/>
                <w:szCs w:val="20"/>
                <w:lang w:val="ru-RU"/>
              </w:rPr>
              <w:t xml:space="preserve">е менее 75% школьных сборов. Капитальный фонд будет использован для улучшения инфраструктуры школы </w:t>
            </w:r>
            <w:r w:rsidRPr="00375863">
              <w:rPr>
                <w:sz w:val="20"/>
                <w:szCs w:val="20"/>
                <w:lang w:val="ru-RU"/>
              </w:rPr>
              <w:t>сейчас и в будущем, чтобы привлечь и удержать отличных сотрудников в Бишкеке.</w:t>
            </w:r>
          </w:p>
          <w:p w:rsidR="004B41AD" w:rsidRPr="00375863" w:rsidRDefault="004B41AD" w:rsidP="00714911">
            <w:pPr>
              <w:spacing w:before="40" w:after="60" w:line="240" w:lineRule="atLeast"/>
              <w:contextualSpacing/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Депозит за резервирование места: </w:t>
            </w:r>
            <w:r w:rsidRPr="00D244A3">
              <w:rPr>
                <w:sz w:val="20"/>
                <w:szCs w:val="20"/>
                <w:lang w:val="ru-RU"/>
              </w:rPr>
              <w:t>чтобы обеспечить место в классе, депозит</w:t>
            </w:r>
            <w:r>
              <w:rPr>
                <w:sz w:val="20"/>
                <w:szCs w:val="20"/>
                <w:lang w:val="ru-RU"/>
              </w:rPr>
              <w:t xml:space="preserve"> в размере </w:t>
            </w:r>
            <w:r w:rsidRPr="00D244A3">
              <w:rPr>
                <w:sz w:val="20"/>
                <w:szCs w:val="20"/>
                <w:lang w:val="ru-RU"/>
              </w:rPr>
              <w:t>$</w:t>
            </w:r>
            <w:r>
              <w:rPr>
                <w:sz w:val="20"/>
                <w:szCs w:val="20"/>
                <w:lang w:val="ru-RU"/>
              </w:rPr>
              <w:t>1000 требуется</w:t>
            </w:r>
            <w:r w:rsidRPr="00D244A3">
              <w:rPr>
                <w:sz w:val="20"/>
                <w:szCs w:val="20"/>
                <w:lang w:val="ru-RU"/>
              </w:rPr>
              <w:t xml:space="preserve"> в момент регистрации. Депозит не подлежит воз</w:t>
            </w:r>
            <w:r>
              <w:rPr>
                <w:sz w:val="20"/>
                <w:szCs w:val="20"/>
                <w:lang w:val="ru-RU"/>
              </w:rPr>
              <w:t>врату, но вычитается из суммы оплаты за обучение при последующем поступлении</w:t>
            </w:r>
            <w:r w:rsidRPr="00D244A3">
              <w:rPr>
                <w:sz w:val="20"/>
                <w:szCs w:val="20"/>
                <w:lang w:val="ru-RU"/>
              </w:rPr>
              <w:t xml:space="preserve">. Этот депозит не требуется для учреждений, </w:t>
            </w:r>
            <w:r>
              <w:rPr>
                <w:sz w:val="20"/>
                <w:szCs w:val="20"/>
                <w:lang w:val="ru-RU"/>
              </w:rPr>
              <w:t>оплачивающих стандартную оплату за</w:t>
            </w:r>
            <w:r w:rsidRPr="00D244A3">
              <w:rPr>
                <w:sz w:val="20"/>
                <w:szCs w:val="20"/>
                <w:lang w:val="ru-RU"/>
              </w:rPr>
              <w:t xml:space="preserve"> год</w:t>
            </w:r>
            <w:r>
              <w:rPr>
                <w:sz w:val="20"/>
                <w:szCs w:val="20"/>
                <w:lang w:val="ru-RU"/>
              </w:rPr>
              <w:t xml:space="preserve">, включающую взнос в </w:t>
            </w:r>
            <w:r w:rsidRPr="00D244A3">
              <w:rPr>
                <w:sz w:val="20"/>
                <w:szCs w:val="20"/>
                <w:lang w:val="ru-RU"/>
              </w:rPr>
              <w:t>капитальный фонд.</w:t>
            </w:r>
          </w:p>
          <w:p w:rsidR="004B41AD" w:rsidRPr="00945F34" w:rsidRDefault="004B41AD" w:rsidP="00714911">
            <w:pPr>
              <w:spacing w:before="40"/>
              <w:contextualSpacing/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Книжный</w:t>
            </w:r>
            <w:r w:rsidRPr="0030648D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депозит</w:t>
            </w:r>
            <w:r w:rsidRPr="0030648D">
              <w:rPr>
                <w:b/>
                <w:sz w:val="20"/>
                <w:szCs w:val="20"/>
                <w:lang w:val="ru-RU"/>
              </w:rPr>
              <w:t>:</w:t>
            </w:r>
            <w:r w:rsidRPr="003064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имеется</w:t>
            </w:r>
            <w:r w:rsidRPr="003064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депозит</w:t>
            </w:r>
            <w:r w:rsidRPr="0030648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 размере</w:t>
            </w:r>
            <w:r w:rsidRPr="0030648D">
              <w:rPr>
                <w:sz w:val="20"/>
                <w:szCs w:val="20"/>
                <w:lang w:val="ru-RU"/>
              </w:rPr>
              <w:t xml:space="preserve"> $150-$500 </w:t>
            </w:r>
            <w:r>
              <w:rPr>
                <w:sz w:val="20"/>
                <w:szCs w:val="20"/>
                <w:lang w:val="ru-RU"/>
              </w:rPr>
              <w:t>в зависимости от класса. Депозит возмещается при уходе из школы при условии, что все книги возвращены в хорошем состоянии</w:t>
            </w:r>
            <w:r w:rsidRPr="0030648D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Начальные классы - </w:t>
            </w:r>
            <w:r w:rsidRPr="00945F34">
              <w:rPr>
                <w:sz w:val="20"/>
                <w:szCs w:val="20"/>
                <w:lang w:val="ru-RU"/>
              </w:rPr>
              <w:t>$</w:t>
            </w:r>
            <w:r>
              <w:rPr>
                <w:sz w:val="20"/>
                <w:szCs w:val="20"/>
                <w:lang w:val="ru-RU"/>
              </w:rPr>
              <w:t>150</w:t>
            </w:r>
            <w:r w:rsidRPr="00945F34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средние классы - </w:t>
            </w:r>
            <w:r w:rsidRPr="00945F34">
              <w:rPr>
                <w:sz w:val="20"/>
                <w:szCs w:val="20"/>
                <w:lang w:val="ru-RU"/>
              </w:rPr>
              <w:t>$</w:t>
            </w:r>
            <w:r>
              <w:rPr>
                <w:sz w:val="20"/>
                <w:szCs w:val="20"/>
                <w:lang w:val="ru-RU"/>
              </w:rPr>
              <w:t>300</w:t>
            </w:r>
            <w:r w:rsidRPr="00945F34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старшие классы - </w:t>
            </w:r>
            <w:r w:rsidRPr="00945F34">
              <w:rPr>
                <w:sz w:val="20"/>
                <w:szCs w:val="20"/>
                <w:lang w:val="ru-RU"/>
              </w:rPr>
              <w:t>$</w:t>
            </w:r>
            <w:r>
              <w:rPr>
                <w:sz w:val="20"/>
                <w:szCs w:val="20"/>
                <w:lang w:val="ru-RU"/>
              </w:rPr>
              <w:t>500</w:t>
            </w:r>
            <w:r w:rsidRPr="00945F34">
              <w:rPr>
                <w:sz w:val="20"/>
                <w:szCs w:val="20"/>
                <w:lang w:val="ru-RU"/>
              </w:rPr>
              <w:t>.</w:t>
            </w:r>
          </w:p>
          <w:p w:rsidR="004B41AD" w:rsidRDefault="004B41AD" w:rsidP="00714911">
            <w:pPr>
              <w:spacing w:before="40"/>
              <w:contextualSpacing/>
              <w:jc w:val="left"/>
              <w:rPr>
                <w:sz w:val="20"/>
                <w:szCs w:val="20"/>
                <w:lang w:val="ru-RU"/>
              </w:rPr>
            </w:pPr>
            <w:r w:rsidRPr="00945F34">
              <w:rPr>
                <w:b/>
                <w:sz w:val="20"/>
                <w:szCs w:val="20"/>
                <w:lang w:val="ru-RU"/>
              </w:rPr>
              <w:t xml:space="preserve">Оплата за </w:t>
            </w:r>
            <w:r>
              <w:rPr>
                <w:b/>
                <w:sz w:val="20"/>
                <w:szCs w:val="20"/>
                <w:lang w:val="ru-RU"/>
              </w:rPr>
              <w:t>дополнительную поддержку по а</w:t>
            </w:r>
            <w:r w:rsidRPr="00945F34">
              <w:rPr>
                <w:b/>
                <w:sz w:val="20"/>
                <w:szCs w:val="20"/>
                <w:lang w:val="ru-RU"/>
              </w:rPr>
              <w:t>н</w:t>
            </w:r>
            <w:r>
              <w:rPr>
                <w:b/>
                <w:sz w:val="20"/>
                <w:szCs w:val="20"/>
                <w:lang w:val="ru-RU"/>
              </w:rPr>
              <w:t>глийскому языку</w:t>
            </w:r>
            <w:r w:rsidRPr="00945F34">
              <w:rPr>
                <w:b/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$2000</w:t>
            </w:r>
            <w:r w:rsidRPr="00945F34">
              <w:rPr>
                <w:sz w:val="20"/>
                <w:szCs w:val="20"/>
                <w:lang w:val="ru-RU"/>
              </w:rPr>
              <w:t xml:space="preserve"> в год, если это применимо с 5 класса и выше.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45F34">
              <w:rPr>
                <w:sz w:val="20"/>
                <w:szCs w:val="20"/>
                <w:lang w:val="ru-RU"/>
              </w:rPr>
              <w:t>Не относится к учащимся, которые зачислились до 2018 года.</w:t>
            </w:r>
          </w:p>
          <w:p w:rsidR="004B41AD" w:rsidRDefault="004B41AD" w:rsidP="00714911">
            <w:pPr>
              <w:spacing w:before="40"/>
              <w:contextualSpacing/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Оплата за и</w:t>
            </w:r>
            <w:r w:rsidRPr="00945F34">
              <w:rPr>
                <w:b/>
                <w:sz w:val="20"/>
                <w:szCs w:val="20"/>
                <w:lang w:val="ru-RU"/>
              </w:rPr>
              <w:t>нклюзивное образование:</w:t>
            </w:r>
            <w:r>
              <w:rPr>
                <w:sz w:val="20"/>
                <w:szCs w:val="20"/>
                <w:lang w:val="ru-RU"/>
              </w:rPr>
              <w:t xml:space="preserve"> требуется для учащихся</w:t>
            </w:r>
            <w:r w:rsidRPr="00945F34">
              <w:rPr>
                <w:sz w:val="20"/>
                <w:szCs w:val="20"/>
                <w:lang w:val="ru-RU"/>
              </w:rPr>
              <w:t xml:space="preserve"> с индивидуальным планом обучения на уровне 3 или выше в соответствии с Политикой инклюзивного образования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4B41AD" w:rsidRPr="00652F69" w:rsidRDefault="004B41AD" w:rsidP="00714911">
            <w:pPr>
              <w:spacing w:before="40"/>
              <w:contextualSpacing/>
              <w:jc w:val="lef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Штрафы</w:t>
            </w:r>
            <w:r w:rsidRPr="00652F69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за</w:t>
            </w:r>
            <w:r w:rsidRPr="00652F69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просроченные</w:t>
            </w:r>
            <w:r w:rsidRPr="00652F69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платежи</w:t>
            </w:r>
            <w:r w:rsidRPr="00652F69">
              <w:rPr>
                <w:b/>
                <w:sz w:val="20"/>
                <w:szCs w:val="20"/>
                <w:lang w:val="ru-RU"/>
              </w:rPr>
              <w:t>:</w:t>
            </w:r>
            <w:r w:rsidRPr="00652F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платежи должны быть произведены в указанные сроки</w:t>
            </w:r>
            <w:r w:rsidRPr="00652F69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Просроченные</w:t>
            </w:r>
            <w:r w:rsidRPr="00652F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платежи</w:t>
            </w:r>
            <w:r w:rsidRPr="00652F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подлежат</w:t>
            </w:r>
            <w:r w:rsidRPr="00652F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стандартному</w:t>
            </w:r>
            <w:r w:rsidRPr="00652F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штрафу в</w:t>
            </w:r>
            <w:r w:rsidRPr="00652F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размере</w:t>
            </w:r>
            <w:r w:rsidRPr="00652F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$300, который будет увеличиваться на </w:t>
            </w:r>
            <w:r w:rsidRPr="00652F69">
              <w:rPr>
                <w:sz w:val="20"/>
                <w:szCs w:val="20"/>
                <w:lang w:val="ru-RU"/>
              </w:rPr>
              <w:t>$300</w:t>
            </w:r>
            <w:r>
              <w:rPr>
                <w:sz w:val="20"/>
                <w:szCs w:val="20"/>
                <w:lang w:val="ru-RU"/>
              </w:rPr>
              <w:t xml:space="preserve"> каждые 30 дней</w:t>
            </w:r>
            <w:r w:rsidRPr="00652F69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E33DF8" w:rsidRPr="00BC5572" w:rsidRDefault="00E33DF8" w:rsidP="00BC5572">
      <w:pPr>
        <w:rPr>
          <w:sz w:val="6"/>
          <w:szCs w:val="6"/>
          <w:lang w:val="ru-RU"/>
        </w:rPr>
      </w:pPr>
    </w:p>
    <w:sectPr w:rsidR="00E33DF8" w:rsidRPr="00BC5572" w:rsidSect="00B659AF">
      <w:footerReference w:type="default" r:id="rId7"/>
      <w:pgSz w:w="11906" w:h="16838"/>
      <w:pgMar w:top="0" w:right="850" w:bottom="0" w:left="16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C5" w:rsidRDefault="009375C5" w:rsidP="00EA301F">
      <w:r>
        <w:separator/>
      </w:r>
    </w:p>
  </w:endnote>
  <w:endnote w:type="continuationSeparator" w:id="0">
    <w:p w:rsidR="009375C5" w:rsidRDefault="009375C5" w:rsidP="00EA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01F" w:rsidRPr="008256A5" w:rsidRDefault="004B41AD" w:rsidP="00EA301F">
    <w:pPr>
      <w:pStyle w:val="Footer"/>
      <w:ind w:left="-1134"/>
      <w:rPr>
        <w:color w:val="17365D" w:themeColor="text2" w:themeShade="BF"/>
        <w:sz w:val="14"/>
        <w:szCs w:val="14"/>
        <w:lang w:val="ru-RU"/>
      </w:rPr>
    </w:pPr>
    <w:r>
      <w:rPr>
        <w:color w:val="17365D" w:themeColor="text2" w:themeShade="BF"/>
        <w:sz w:val="14"/>
        <w:szCs w:val="14"/>
        <w:lang w:val="ru-RU"/>
      </w:rPr>
      <w:t>Обновлено в январе 2021</w:t>
    </w:r>
    <w:r w:rsidR="00EA301F" w:rsidRPr="008256A5">
      <w:rPr>
        <w:color w:val="17365D" w:themeColor="text2" w:themeShade="BF"/>
        <w:sz w:val="14"/>
        <w:szCs w:val="14"/>
        <w:lang w:val="ru-RU"/>
      </w:rPr>
      <w:t xml:space="preserve">. Примите во внимание, что </w:t>
    </w:r>
    <w:r w:rsidR="003E5D6F" w:rsidRPr="008256A5">
      <w:rPr>
        <w:color w:val="17365D" w:themeColor="text2" w:themeShade="BF"/>
        <w:sz w:val="14"/>
        <w:szCs w:val="14"/>
        <w:lang w:val="ru-RU"/>
      </w:rPr>
      <w:t xml:space="preserve">сумма оплаты </w:t>
    </w:r>
    <w:r w:rsidR="00EA301F" w:rsidRPr="008256A5">
      <w:rPr>
        <w:color w:val="17365D" w:themeColor="text2" w:themeShade="BF"/>
        <w:sz w:val="14"/>
        <w:szCs w:val="14"/>
        <w:lang w:val="ru-RU"/>
      </w:rPr>
      <w:t xml:space="preserve">в течение года </w:t>
    </w:r>
    <w:r w:rsidR="003E5D6F" w:rsidRPr="008256A5">
      <w:rPr>
        <w:color w:val="17365D" w:themeColor="text2" w:themeShade="BF"/>
        <w:sz w:val="14"/>
        <w:szCs w:val="14"/>
        <w:lang w:val="ru-RU"/>
      </w:rPr>
      <w:t xml:space="preserve">может </w:t>
    </w:r>
    <w:r w:rsidR="00CD1F31" w:rsidRPr="008256A5">
      <w:rPr>
        <w:color w:val="17365D" w:themeColor="text2" w:themeShade="BF"/>
        <w:sz w:val="14"/>
        <w:szCs w:val="14"/>
        <w:lang w:val="ru-RU"/>
      </w:rPr>
      <w:t>измениться</w:t>
    </w:r>
    <w:r w:rsidR="00EA301F" w:rsidRPr="008256A5">
      <w:rPr>
        <w:color w:val="17365D" w:themeColor="text2" w:themeShade="BF"/>
        <w:sz w:val="14"/>
        <w:szCs w:val="14"/>
        <w:lang w:val="ru-RU"/>
      </w:rPr>
      <w:t xml:space="preserve"> </w:t>
    </w:r>
    <w:r w:rsidR="00CD1F31" w:rsidRPr="008256A5">
      <w:rPr>
        <w:color w:val="17365D" w:themeColor="text2" w:themeShade="BF"/>
        <w:sz w:val="14"/>
        <w:szCs w:val="14"/>
        <w:lang w:val="ru-RU"/>
      </w:rPr>
      <w:t xml:space="preserve">для платежей, </w:t>
    </w:r>
    <w:r w:rsidR="00EA301F" w:rsidRPr="008256A5">
      <w:rPr>
        <w:color w:val="17365D" w:themeColor="text2" w:themeShade="BF"/>
        <w:sz w:val="14"/>
        <w:szCs w:val="14"/>
        <w:lang w:val="ru-RU"/>
      </w:rPr>
      <w:t>котор</w:t>
    </w:r>
    <w:r w:rsidR="00CD1F31" w:rsidRPr="008256A5">
      <w:rPr>
        <w:color w:val="17365D" w:themeColor="text2" w:themeShade="BF"/>
        <w:sz w:val="14"/>
        <w:szCs w:val="14"/>
        <w:lang w:val="ru-RU"/>
      </w:rPr>
      <w:t>ые</w:t>
    </w:r>
    <w:r w:rsidR="003E5D6F" w:rsidRPr="008256A5">
      <w:rPr>
        <w:color w:val="17365D" w:themeColor="text2" w:themeShade="BF"/>
        <w:sz w:val="14"/>
        <w:szCs w:val="14"/>
        <w:lang w:val="ru-RU"/>
      </w:rPr>
      <w:t xml:space="preserve"> еще не был</w:t>
    </w:r>
    <w:r w:rsidR="00CD1F31" w:rsidRPr="008256A5">
      <w:rPr>
        <w:color w:val="17365D" w:themeColor="text2" w:themeShade="BF"/>
        <w:sz w:val="14"/>
        <w:szCs w:val="14"/>
        <w:lang w:val="ru-RU"/>
      </w:rPr>
      <w:t>и произведены</w:t>
    </w:r>
    <w:r w:rsidR="00EA301F" w:rsidRPr="008256A5">
      <w:rPr>
        <w:color w:val="17365D" w:themeColor="text2" w:themeShade="BF"/>
        <w:sz w:val="14"/>
        <w:szCs w:val="14"/>
        <w:lang w:val="ru-RU"/>
      </w:rPr>
      <w:t>.</w:t>
    </w:r>
  </w:p>
  <w:p w:rsidR="00EA301F" w:rsidRPr="00EA301F" w:rsidRDefault="00EA301F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C5" w:rsidRDefault="009375C5" w:rsidP="00EA301F">
      <w:r>
        <w:separator/>
      </w:r>
    </w:p>
  </w:footnote>
  <w:footnote w:type="continuationSeparator" w:id="0">
    <w:p w:rsidR="009375C5" w:rsidRDefault="009375C5" w:rsidP="00EA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4F8"/>
    <w:multiLevelType w:val="hybridMultilevel"/>
    <w:tmpl w:val="8354B5CE"/>
    <w:lvl w:ilvl="0" w:tplc="0C5CA0E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46F30"/>
    <w:multiLevelType w:val="hybridMultilevel"/>
    <w:tmpl w:val="A19A245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1EF4"/>
    <w:multiLevelType w:val="hybridMultilevel"/>
    <w:tmpl w:val="37343C70"/>
    <w:lvl w:ilvl="0" w:tplc="06E02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2B05"/>
    <w:multiLevelType w:val="hybridMultilevel"/>
    <w:tmpl w:val="AC84F634"/>
    <w:lvl w:ilvl="0" w:tplc="BB0A0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A7429"/>
    <w:multiLevelType w:val="hybridMultilevel"/>
    <w:tmpl w:val="7D2EB508"/>
    <w:lvl w:ilvl="0" w:tplc="1B84199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327BBA"/>
    <w:multiLevelType w:val="hybridMultilevel"/>
    <w:tmpl w:val="C414DBB6"/>
    <w:lvl w:ilvl="0" w:tplc="79EAA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8C"/>
    <w:rsid w:val="00000EC0"/>
    <w:rsid w:val="0002707B"/>
    <w:rsid w:val="000831EE"/>
    <w:rsid w:val="000A7377"/>
    <w:rsid w:val="000B5F17"/>
    <w:rsid w:val="000F1A9E"/>
    <w:rsid w:val="000F30D8"/>
    <w:rsid w:val="0018530B"/>
    <w:rsid w:val="001E58F5"/>
    <w:rsid w:val="00294683"/>
    <w:rsid w:val="002B4ECB"/>
    <w:rsid w:val="0030648D"/>
    <w:rsid w:val="00375863"/>
    <w:rsid w:val="003E5D6F"/>
    <w:rsid w:val="004016C4"/>
    <w:rsid w:val="004122DE"/>
    <w:rsid w:val="0041767E"/>
    <w:rsid w:val="00437605"/>
    <w:rsid w:val="004A1D9D"/>
    <w:rsid w:val="004B41AD"/>
    <w:rsid w:val="004E685F"/>
    <w:rsid w:val="004F0469"/>
    <w:rsid w:val="0054277F"/>
    <w:rsid w:val="005B3C35"/>
    <w:rsid w:val="00652F69"/>
    <w:rsid w:val="0067587F"/>
    <w:rsid w:val="0069288C"/>
    <w:rsid w:val="0072786B"/>
    <w:rsid w:val="0074238F"/>
    <w:rsid w:val="00793787"/>
    <w:rsid w:val="008256A5"/>
    <w:rsid w:val="00833DE5"/>
    <w:rsid w:val="00851D8A"/>
    <w:rsid w:val="0086607B"/>
    <w:rsid w:val="008737AD"/>
    <w:rsid w:val="00887766"/>
    <w:rsid w:val="008908C3"/>
    <w:rsid w:val="00896308"/>
    <w:rsid w:val="008B3FDC"/>
    <w:rsid w:val="008F0BD7"/>
    <w:rsid w:val="0090224F"/>
    <w:rsid w:val="00924A7F"/>
    <w:rsid w:val="009375C5"/>
    <w:rsid w:val="009410B9"/>
    <w:rsid w:val="00945F34"/>
    <w:rsid w:val="009E68B1"/>
    <w:rsid w:val="00A112AB"/>
    <w:rsid w:val="00A20131"/>
    <w:rsid w:val="00A211E4"/>
    <w:rsid w:val="00A54C8A"/>
    <w:rsid w:val="00AB3604"/>
    <w:rsid w:val="00AB3BC6"/>
    <w:rsid w:val="00B230F9"/>
    <w:rsid w:val="00B370AF"/>
    <w:rsid w:val="00B644AA"/>
    <w:rsid w:val="00B659AF"/>
    <w:rsid w:val="00BA3484"/>
    <w:rsid w:val="00BA4609"/>
    <w:rsid w:val="00BB1A75"/>
    <w:rsid w:val="00BC5572"/>
    <w:rsid w:val="00CC47DE"/>
    <w:rsid w:val="00CD1F31"/>
    <w:rsid w:val="00CD6B0C"/>
    <w:rsid w:val="00D244A3"/>
    <w:rsid w:val="00D559FE"/>
    <w:rsid w:val="00DB30D7"/>
    <w:rsid w:val="00DE17FD"/>
    <w:rsid w:val="00DF7D93"/>
    <w:rsid w:val="00E33DF8"/>
    <w:rsid w:val="00EA301F"/>
    <w:rsid w:val="00F624F8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0316A"/>
  <w15:docId w15:val="{E3ED4CCB-7721-45FC-AEE8-4391017C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DF8"/>
    <w:pPr>
      <w:spacing w:after="0" w:line="240" w:lineRule="auto"/>
      <w:jc w:val="both"/>
    </w:pPr>
    <w:rPr>
      <w:rFonts w:ascii="Arial" w:eastAsia="Calibri" w:hAnsi="Arial" w:cs="Arial"/>
      <w:sz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DF8"/>
    <w:rPr>
      <w:rFonts w:ascii="Arial" w:eastAsia="Calibri" w:hAnsi="Arial" w:cs="Arial"/>
      <w:sz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EE"/>
    <w:rPr>
      <w:rFonts w:ascii="Segoe UI" w:eastAsia="Calibri" w:hAnsi="Segoe UI" w:cs="Segoe UI"/>
      <w:sz w:val="18"/>
      <w:szCs w:val="18"/>
      <w:lang w:val="en-ZA"/>
    </w:rPr>
  </w:style>
  <w:style w:type="paragraph" w:styleId="ListParagraph">
    <w:name w:val="List Paragraph"/>
    <w:basedOn w:val="Normal"/>
    <w:uiPriority w:val="34"/>
    <w:qFormat/>
    <w:rsid w:val="000831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30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01F"/>
    <w:rPr>
      <w:rFonts w:ascii="Arial" w:eastAsia="Calibri" w:hAnsi="Arial" w:cs="Arial"/>
      <w:sz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User</cp:lastModifiedBy>
  <cp:revision>4</cp:revision>
  <cp:lastPrinted>2019-01-11T11:08:00Z</cp:lastPrinted>
  <dcterms:created xsi:type="dcterms:W3CDTF">2020-06-17T06:03:00Z</dcterms:created>
  <dcterms:modified xsi:type="dcterms:W3CDTF">2021-01-21T03:47:00Z</dcterms:modified>
</cp:coreProperties>
</file>